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2020年度</w:t>
      </w:r>
    </w:p>
    <w:p>
      <w:pPr>
        <w:pStyle w:val="9"/>
        <w:jc w:val="center"/>
        <w:rPr>
          <w:sz w:val="84"/>
          <w:szCs w:val="84"/>
        </w:rPr>
      </w:pPr>
      <w:r>
        <w:rPr>
          <w:rFonts w:hint="eastAsia"/>
          <w:sz w:val="84"/>
          <w:szCs w:val="84"/>
          <w:lang w:eastAsia="zh-CN"/>
        </w:rPr>
        <w:t>沅江市信访局</w:t>
      </w:r>
      <w:r>
        <w:rPr>
          <w:rFonts w:hint="eastAsia"/>
          <w:sz w:val="84"/>
          <w:szCs w:val="84"/>
        </w:rPr>
        <w:t>部门（单位）部门决算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00" w:lineRule="exact"/>
        <w:jc w:val="both"/>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lang w:eastAsia="zh-CN"/>
        </w:rPr>
        <w:t>沅江市信访局</w:t>
      </w:r>
      <w:r>
        <w:rPr>
          <w:rFonts w:hint="eastAsia"/>
          <w:b/>
          <w:sz w:val="28"/>
          <w:szCs w:val="28"/>
        </w:rPr>
        <w:t>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p>
    <w:p>
      <w:pPr>
        <w:pStyle w:val="9"/>
        <w:jc w:val="center"/>
        <w:rPr>
          <w:sz w:val="84"/>
          <w:szCs w:val="84"/>
        </w:rPr>
      </w:pPr>
    </w:p>
    <w:p>
      <w:pPr>
        <w:pStyle w:val="9"/>
        <w:jc w:val="center"/>
        <w:rPr>
          <w:sz w:val="84"/>
          <w:szCs w:val="84"/>
        </w:rPr>
      </w:pPr>
      <w:r>
        <w:rPr>
          <w:rFonts w:hint="eastAsia"/>
          <w:sz w:val="84"/>
          <w:szCs w:val="84"/>
          <w:lang w:eastAsia="zh-CN"/>
        </w:rPr>
        <w:t>沅江市信访局</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（一）处理群众来信来访</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"http://www.so.com/s?q=%E4%BA%8B%E9%A1%B9&amp;ie=utf-8&amp;src=internal_wenda_recommend_textn"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事项</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，保证信访渠道畅通；反映来信来访中提出的重要建议、意见和问题；综合分析信访信息，开展</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"http://www.so.com/s?q=%E8%B0%83%E6%9F%A5%E7%A0%94%E7%A9%B6&amp;ie=utf-8&amp;src=internal_wenda_recommend_textn"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调查研究</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，提出制定有关政策规定的建议。</w:t>
      </w:r>
      <w:r>
        <w:rPr>
          <w:rFonts w:hint="eastAsia" w:asciiTheme="minorEastAsia" w:hAnsiTheme="minorEastAsia"/>
          <w:bCs/>
          <w:kern w:val="0"/>
          <w:sz w:val="32"/>
          <w:szCs w:val="32"/>
        </w:rPr>
        <w:br w:type="textWrapping"/>
      </w:r>
      <w:r>
        <w:rPr>
          <w:rFonts w:hint="eastAsia" w:asciiTheme="minorEastAsia" w:hAnsiTheme="minorEastAsia"/>
          <w:bCs/>
          <w:kern w:val="0"/>
          <w:sz w:val="32"/>
          <w:szCs w:val="32"/>
          <w:lang w:val="en-US" w:eastAsia="zh-CN"/>
        </w:rPr>
        <w:t xml:space="preserve">    </w:t>
      </w:r>
      <w:r>
        <w:rPr>
          <w:rFonts w:hint="eastAsia" w:asciiTheme="minorEastAsia" w:hAnsiTheme="minorEastAsia"/>
          <w:bCs/>
          <w:kern w:val="0"/>
          <w:sz w:val="32"/>
          <w:szCs w:val="32"/>
        </w:rPr>
        <w:t>（二）承办上级信访</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"http://www.so.com/s?q=%E9%83%A8%E9%97%A8&amp;ie=utf-8&amp;src=internal_wenda_recommend_textn"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部门</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和</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"http://www.so.com/s?q=%E9%A2%86%E5%AF%BC&amp;ie=utf-8&amp;src=internal_wenda_recommend_textn"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领导</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交办的信访事项，督促检查领导有关交办、指示件的落实情况；向各乡镇和县级部门交办信访事项，并督促检查保证信访渠道畅通保证信访渠道畅通</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　　</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（三）协调处理跨乡镇、跨部门的重要信访问题；协调处理群众集体上访和异常、突发信访事件；协调、检查各乡镇和县级部门的信访和</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"http://www.so.com/s?q=%E7%BE%A4%E4%BC%97%E5%B7%A5%E4%BD%9C&amp;ie=utf-8&amp;src=internal_wenda_recommend_textn"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群众工作</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w:t>
      </w:r>
      <w:r>
        <w:rPr>
          <w:rFonts w:hint="eastAsia" w:asciiTheme="minorEastAsia" w:hAnsiTheme="minorEastAsia"/>
          <w:bCs/>
          <w:kern w:val="0"/>
          <w:sz w:val="32"/>
          <w:szCs w:val="32"/>
        </w:rPr>
        <w:br w:type="textWrapping"/>
      </w:r>
      <w:r>
        <w:rPr>
          <w:rFonts w:hint="eastAsia" w:asciiTheme="minorEastAsia" w:hAnsiTheme="minorEastAsia"/>
          <w:bCs/>
          <w:kern w:val="0"/>
          <w:sz w:val="32"/>
          <w:szCs w:val="32"/>
        </w:rPr>
        <w:t>　　（四）指导全</w:t>
      </w:r>
      <w:r>
        <w:rPr>
          <w:rFonts w:hint="eastAsia" w:asciiTheme="minorEastAsia" w:hAnsiTheme="minorEastAsia"/>
          <w:bCs/>
          <w:kern w:val="0"/>
          <w:sz w:val="32"/>
          <w:szCs w:val="32"/>
          <w:lang w:eastAsia="zh-CN"/>
        </w:rPr>
        <w:t>市</w:t>
      </w:r>
      <w:r>
        <w:rPr>
          <w:rFonts w:hint="eastAsia" w:asciiTheme="minorEastAsia" w:hAnsiTheme="minorEastAsia"/>
          <w:bCs/>
          <w:kern w:val="0"/>
          <w:sz w:val="32"/>
          <w:szCs w:val="32"/>
        </w:rPr>
        <w:t>信访业务工作；总结推广单位、各部门信访和群众工作的经验，提出改进和加强信访工作的意见和建议。</w:t>
      </w:r>
      <w:r>
        <w:rPr>
          <w:rFonts w:hint="eastAsia" w:asciiTheme="minorEastAsia" w:hAnsiTheme="minorEastAsia"/>
          <w:bCs/>
          <w:kern w:val="0"/>
          <w:sz w:val="32"/>
          <w:szCs w:val="32"/>
        </w:rPr>
        <w:br w:type="textWrapping"/>
      </w:r>
      <w:r>
        <w:rPr>
          <w:rFonts w:hint="eastAsia" w:asciiTheme="minorEastAsia" w:hAnsiTheme="minorEastAsia"/>
          <w:bCs/>
          <w:kern w:val="0"/>
          <w:sz w:val="32"/>
          <w:szCs w:val="32"/>
        </w:rPr>
        <w:t>　　（五）了解并掌握信访和群众工作队伍建设情况，</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"http://www.so.com/s?q=%E7%BB%84%E7%BB%87&amp;ie=utf-8&amp;src=internal_wenda_recommend_textn"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组织</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信访干部的培训；指导信访工作部门</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"http://www.so.com/s?q=%E4%BF%A1%E6%81%AF%E7%B3%BB%E7%BB%9F&amp;ie=utf-8&amp;src=internal_wenda_recommend_textn"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信息系统</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建设。</w:t>
      </w:r>
      <w:r>
        <w:rPr>
          <w:rFonts w:hint="eastAsia" w:asciiTheme="minorEastAsia" w:hAnsiTheme="minorEastAsia"/>
          <w:bCs/>
          <w:kern w:val="0"/>
          <w:sz w:val="32"/>
          <w:szCs w:val="32"/>
        </w:rPr>
        <w:br w:type="textWrapping"/>
      </w:r>
      <w:r>
        <w:rPr>
          <w:rFonts w:hint="eastAsia" w:asciiTheme="minorEastAsia" w:hAnsiTheme="minorEastAsia"/>
          <w:bCs/>
          <w:kern w:val="0"/>
          <w:sz w:val="32"/>
          <w:szCs w:val="32"/>
        </w:rPr>
        <w:t>　　（六）负责信访工作的宣传和信息发布。</w:t>
      </w:r>
      <w:r>
        <w:rPr>
          <w:rFonts w:hint="eastAsia" w:asciiTheme="minorEastAsia" w:hAnsiTheme="minorEastAsia"/>
          <w:bCs/>
          <w:kern w:val="0"/>
          <w:sz w:val="32"/>
          <w:szCs w:val="32"/>
        </w:rPr>
        <w:br w:type="textWrapping"/>
      </w:r>
      <w:r>
        <w:rPr>
          <w:rFonts w:hint="eastAsia" w:asciiTheme="minorEastAsia" w:hAnsiTheme="minorEastAsia"/>
          <w:bCs/>
          <w:kern w:val="0"/>
          <w:sz w:val="32"/>
          <w:szCs w:val="32"/>
        </w:rPr>
        <w:t>　　（七）受理群众对</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"http://www.so.com/s?q=%E5%8E%BF%E5%A7%94&amp;ie=utf-8&amp;src=internal_wenda_recommend_textn"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lang w:eastAsia="zh-CN"/>
        </w:rPr>
        <w:t>市</w:t>
      </w:r>
      <w:r>
        <w:rPr>
          <w:rFonts w:hint="eastAsia" w:asciiTheme="minorEastAsia" w:hAnsiTheme="minorEastAsia"/>
          <w:bCs/>
          <w:kern w:val="0"/>
          <w:sz w:val="32"/>
          <w:szCs w:val="32"/>
        </w:rPr>
        <w:t>委</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市</w:t>
      </w:r>
      <w:r>
        <w:rPr>
          <w:rFonts w:hint="eastAsia" w:asciiTheme="minorEastAsia" w:hAnsiTheme="minorEastAsia"/>
          <w:bCs/>
          <w:kern w:val="0"/>
          <w:sz w:val="32"/>
          <w:szCs w:val="32"/>
        </w:rPr>
        <w:t>人民政府及其工作部门和各乡镇人民政府的批评、意见和建议。</w:t>
      </w:r>
      <w:r>
        <w:rPr>
          <w:rFonts w:hint="eastAsia" w:asciiTheme="minorEastAsia" w:hAnsiTheme="minorEastAsia"/>
          <w:bCs/>
          <w:kern w:val="0"/>
          <w:sz w:val="32"/>
          <w:szCs w:val="32"/>
        </w:rPr>
        <w:br w:type="textWrapping"/>
      </w:r>
      <w:r>
        <w:rPr>
          <w:rFonts w:hint="eastAsia" w:asciiTheme="minorEastAsia" w:hAnsiTheme="minorEastAsia"/>
          <w:bCs/>
          <w:kern w:val="0"/>
          <w:sz w:val="32"/>
          <w:szCs w:val="32"/>
        </w:rPr>
        <w:t>　　（八）完成</w:t>
      </w:r>
      <w:r>
        <w:rPr>
          <w:rFonts w:hint="eastAsia" w:asciiTheme="minorEastAsia" w:hAnsiTheme="minorEastAsia"/>
          <w:bCs/>
          <w:kern w:val="0"/>
          <w:sz w:val="32"/>
          <w:szCs w:val="32"/>
          <w:lang w:eastAsia="zh-CN"/>
        </w:rPr>
        <w:t>市</w:t>
      </w:r>
      <w:r>
        <w:rPr>
          <w:rFonts w:hint="eastAsia" w:asciiTheme="minorEastAsia" w:hAnsiTheme="minorEastAsia"/>
          <w:bCs/>
          <w:kern w:val="0"/>
          <w:sz w:val="32"/>
          <w:szCs w:val="32"/>
        </w:rPr>
        <w:t>委、</w:t>
      </w:r>
      <w:r>
        <w:rPr>
          <w:rFonts w:hint="eastAsia" w:asciiTheme="minorEastAsia" w:hAnsiTheme="minorEastAsia"/>
          <w:bCs/>
          <w:kern w:val="0"/>
          <w:sz w:val="32"/>
          <w:szCs w:val="32"/>
          <w:lang w:eastAsia="zh-CN"/>
        </w:rPr>
        <w:t>市</w:t>
      </w:r>
      <w:r>
        <w:rPr>
          <w:rFonts w:hint="eastAsia" w:asciiTheme="minorEastAsia" w:hAnsiTheme="minorEastAsia"/>
          <w:bCs/>
          <w:kern w:val="0"/>
          <w:sz w:val="32"/>
          <w:szCs w:val="32"/>
        </w:rPr>
        <w:t>政府交办的其他</w:t>
      </w:r>
      <w:r>
        <w:rPr>
          <w:rFonts w:hint="eastAsia" w:asciiTheme="minorEastAsia" w:hAnsiTheme="minorEastAsia"/>
          <w:bCs/>
          <w:kern w:val="0"/>
          <w:sz w:val="32"/>
          <w:szCs w:val="32"/>
        </w:rPr>
        <w:fldChar w:fldCharType="begin"/>
      </w:r>
      <w:r>
        <w:rPr>
          <w:rFonts w:hint="eastAsia" w:asciiTheme="minorEastAsia" w:hAnsiTheme="minorEastAsia"/>
          <w:bCs/>
          <w:kern w:val="0"/>
          <w:sz w:val="32"/>
          <w:szCs w:val="32"/>
        </w:rPr>
        <w:instrText xml:space="preserve"> HYPERLINK "http://www.so.com/s?q=%E4%BB%BB%E5%8A%A1&amp;ie=utf-8&amp;src=internal_wenda_recommend_textn" \t "https://wenda.so.com/q/_blank" </w:instrText>
      </w:r>
      <w:r>
        <w:rPr>
          <w:rFonts w:hint="eastAsia" w:asciiTheme="minorEastAsia" w:hAnsiTheme="minorEastAsia"/>
          <w:bCs/>
          <w:kern w:val="0"/>
          <w:sz w:val="32"/>
          <w:szCs w:val="32"/>
        </w:rPr>
        <w:fldChar w:fldCharType="separate"/>
      </w:r>
      <w:r>
        <w:rPr>
          <w:rFonts w:hint="eastAsia" w:asciiTheme="minorEastAsia" w:hAnsiTheme="minorEastAsia"/>
          <w:bCs/>
          <w:kern w:val="0"/>
          <w:sz w:val="32"/>
          <w:szCs w:val="32"/>
        </w:rPr>
        <w:t>任务</w:t>
      </w:r>
      <w:r>
        <w:rPr>
          <w:rFonts w:hint="eastAsia" w:asciiTheme="minorEastAsia" w:hAnsiTheme="minorEastAsia"/>
          <w:bCs/>
          <w:kern w:val="0"/>
          <w:sz w:val="32"/>
          <w:szCs w:val="32"/>
        </w:rPr>
        <w:fldChar w:fldCharType="end"/>
      </w:r>
      <w:r>
        <w:rPr>
          <w:rFonts w:hint="eastAsia" w:asciiTheme="minorEastAsia" w:hAnsiTheme="minorEastAsia"/>
          <w:bCs/>
          <w:kern w:val="0"/>
          <w:sz w:val="32"/>
          <w:szCs w:val="32"/>
        </w:rPr>
        <w:t>。 </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沅江市信访局</w:t>
      </w:r>
      <w:r>
        <w:rPr>
          <w:rFonts w:hint="eastAsia" w:asciiTheme="minorEastAsia" w:hAnsiTheme="minorEastAsia"/>
          <w:bCs/>
          <w:kern w:val="0"/>
          <w:sz w:val="32"/>
          <w:szCs w:val="32"/>
        </w:rPr>
        <w:t>单位内设机构包括：</w:t>
      </w:r>
      <w:r>
        <w:rPr>
          <w:rFonts w:hint="eastAsia" w:asciiTheme="minorEastAsia" w:hAnsiTheme="minorEastAsia"/>
          <w:bCs/>
          <w:kern w:val="0"/>
          <w:sz w:val="32"/>
          <w:szCs w:val="32"/>
          <w:lang w:eastAsia="zh-CN"/>
        </w:rPr>
        <w:t>办公室、接济室、督查室。</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沅江市信访局</w:t>
      </w:r>
      <w:r>
        <w:rPr>
          <w:rFonts w:hint="eastAsia" w:asciiTheme="minorEastAsia" w:hAnsiTheme="minorEastAsia"/>
          <w:bCs/>
          <w:kern w:val="0"/>
          <w:sz w:val="32"/>
          <w:szCs w:val="32"/>
        </w:rPr>
        <w:t>单位</w:t>
      </w: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20年部门决算汇总公开单位构成包括：</w:t>
      </w:r>
      <w:r>
        <w:rPr>
          <w:rFonts w:hint="eastAsia" w:asciiTheme="minorEastAsia" w:hAnsiTheme="minorEastAsia"/>
          <w:bCs/>
          <w:kern w:val="0"/>
          <w:sz w:val="32"/>
          <w:szCs w:val="32"/>
          <w:lang w:eastAsia="zh-CN"/>
        </w:rPr>
        <w:t>沅江市信访局</w:t>
      </w:r>
      <w:r>
        <w:rPr>
          <w:rFonts w:hint="eastAsia" w:asciiTheme="minorEastAsia" w:hAnsiTheme="minorEastAsia"/>
          <w:bCs/>
          <w:kern w:val="0"/>
          <w:sz w:val="32"/>
          <w:szCs w:val="32"/>
        </w:rPr>
        <w:t>单位本级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5"/>
        <w:tblW w:w="14080" w:type="dxa"/>
        <w:tblInd w:w="93" w:type="dxa"/>
        <w:tblLayout w:type="fixed"/>
        <w:tblCellMar>
          <w:top w:w="0" w:type="dxa"/>
          <w:left w:w="108" w:type="dxa"/>
          <w:bottom w:w="0" w:type="dxa"/>
          <w:right w:w="108" w:type="dxa"/>
        </w:tblCellMar>
      </w:tblPr>
      <w:tblGrid>
        <w:gridCol w:w="14080"/>
      </w:tblGrid>
      <w:tr>
        <w:tblPrEx>
          <w:tblCellMar>
            <w:top w:w="0" w:type="dxa"/>
            <w:left w:w="108" w:type="dxa"/>
            <w:bottom w:w="0" w:type="dxa"/>
            <w:right w:w="108" w:type="dxa"/>
          </w:tblCellMar>
        </w:tblPrEx>
        <w:trPr>
          <w:trHeight w:val="5308" w:hRule="atLeast"/>
        </w:trPr>
        <w:tc>
          <w:tcPr>
            <w:tcW w:w="14080" w:type="dxa"/>
            <w:tcBorders>
              <w:top w:val="nil"/>
              <w:left w:val="nil"/>
              <w:bottom w:val="nil"/>
              <w:right w:val="nil"/>
            </w:tcBorders>
            <w:shd w:val="clear" w:color="auto" w:fill="auto"/>
            <w:vAlign w:val="center"/>
          </w:tcPr>
          <w:tbl>
            <w:tblPr>
              <w:tblW w:w="13777"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
              <w:gridCol w:w="3640"/>
              <w:gridCol w:w="5"/>
              <w:gridCol w:w="520"/>
              <w:gridCol w:w="1033"/>
              <w:gridCol w:w="1638"/>
              <w:gridCol w:w="382"/>
              <w:gridCol w:w="3404"/>
              <w:gridCol w:w="589"/>
              <w:gridCol w:w="585"/>
              <w:gridCol w:w="5"/>
              <w:gridCol w:w="1966"/>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Before w:val="1"/>
                <w:wBefore w:w="5" w:type="dxa"/>
                <w:trHeight w:val="390" w:hRule="atLeast"/>
              </w:trPr>
              <w:tc>
                <w:tcPr>
                  <w:tcW w:w="13772" w:type="dxa"/>
                  <w:gridSpan w:val="12"/>
                  <w:tcBorders>
                    <w:top w:val="nil"/>
                    <w:left w:val="nil"/>
                    <w:bottom w:val="nil"/>
                    <w:right w:val="nil"/>
                  </w:tcBorders>
                  <w:shd w:val="clear"/>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bdr w:val="none" w:color="auto" w:sz="0" w:space="0"/>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Before w:val="1"/>
                <w:wBefore w:w="5" w:type="dxa"/>
                <w:trHeight w:val="255" w:hRule="atLeast"/>
              </w:trPr>
              <w:tc>
                <w:tcPr>
                  <w:tcW w:w="3645" w:type="dxa"/>
                  <w:gridSpan w:val="2"/>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520" w:type="dxa"/>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3053" w:type="dxa"/>
                  <w:gridSpan w:val="3"/>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3404" w:type="dxa"/>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1179" w:type="dxa"/>
                  <w:gridSpan w:val="3"/>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1971" w:type="dxa"/>
                  <w:gridSpan w:val="2"/>
                  <w:tcBorders>
                    <w:top w:val="nil"/>
                    <w:left w:val="nil"/>
                    <w:bottom w:val="nil"/>
                    <w:right w:val="nil"/>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Before w:val="1"/>
                <w:wBefore w:w="5" w:type="dxa"/>
                <w:trHeight w:val="255" w:hRule="atLeast"/>
              </w:trPr>
              <w:tc>
                <w:tcPr>
                  <w:tcW w:w="3645" w:type="dxa"/>
                  <w:gridSpan w:val="2"/>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部门：沅江市信访局</w:t>
                  </w:r>
                </w:p>
              </w:tc>
              <w:tc>
                <w:tcPr>
                  <w:tcW w:w="520" w:type="dxa"/>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3053" w:type="dxa"/>
                  <w:gridSpan w:val="3"/>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3404" w:type="dxa"/>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1179" w:type="dxa"/>
                  <w:gridSpan w:val="3"/>
                  <w:tcBorders>
                    <w:top w:val="nil"/>
                    <w:left w:val="nil"/>
                    <w:bottom w:val="nil"/>
                    <w:right w:val="nil"/>
                  </w:tcBorders>
                  <w:shd w:val="clear"/>
                  <w:noWrap/>
                  <w:vAlign w:val="bottom"/>
                </w:tcPr>
                <w:p>
                  <w:pPr>
                    <w:rPr>
                      <w:rFonts w:hint="default" w:ascii="Arial" w:hAnsi="Arial" w:cs="Arial"/>
                      <w:i w:val="0"/>
                      <w:iCs w:val="0"/>
                      <w:color w:val="000000"/>
                      <w:sz w:val="20"/>
                      <w:szCs w:val="20"/>
                      <w:u w:val="none"/>
                    </w:rPr>
                  </w:pPr>
                </w:p>
              </w:tc>
              <w:tc>
                <w:tcPr>
                  <w:tcW w:w="1971" w:type="dxa"/>
                  <w:gridSpan w:val="2"/>
                  <w:tcBorders>
                    <w:top w:val="nil"/>
                    <w:left w:val="nil"/>
                    <w:bottom w:val="nil"/>
                    <w:right w:val="nil"/>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08" w:hRule="atLeast"/>
              </w:trPr>
              <w:tc>
                <w:tcPr>
                  <w:tcW w:w="6841" w:type="dxa"/>
                  <w:gridSpan w:val="6"/>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收入</w:t>
                  </w:r>
                </w:p>
              </w:tc>
              <w:tc>
                <w:tcPr>
                  <w:tcW w:w="6931" w:type="dxa"/>
                  <w:gridSpan w:val="6"/>
                  <w:tcBorders>
                    <w:top w:val="single" w:color="000000" w:sz="4" w:space="0"/>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08"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行次</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金额</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行次</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08"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栏次</w:t>
                  </w:r>
                </w:p>
              </w:tc>
              <w:tc>
                <w:tcPr>
                  <w:tcW w:w="1558" w:type="dxa"/>
                  <w:gridSpan w:val="3"/>
                  <w:tcBorders>
                    <w:top w:val="nil"/>
                    <w:left w:val="nil"/>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栏次</w:t>
                  </w:r>
                </w:p>
              </w:tc>
              <w:tc>
                <w:tcPr>
                  <w:tcW w:w="585" w:type="dxa"/>
                  <w:tcBorders>
                    <w:top w:val="nil"/>
                    <w:left w:val="nil"/>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一、一般公共预算财政拨款收入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300.04</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一、一般公共服务支出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二、政府性基金预算财政拨款收入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二、外交支出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三、国有资本经营预算财政拨款收入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三、国防支出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四、上级补助收入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四、公共安全支出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五、事业收入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五、教育支出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六、经营收入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六、科学技术支出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七、附属单位上缴收入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七、文化旅游体育与传媒支出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八、其他收入</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0.30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八、社会保障和就业支出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九、卫生健康支出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十、节能环保支出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十一、城乡社区支出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十二、农林水支出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十三、交通运输支出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十四、资源勘探工业信息等支出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十五、商业服务业等支出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十六、金融支出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47</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十七、援助其他地区支出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十八、自然资源海洋气象等支出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十九、住房保障支出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二十、粮油物资储备支出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51</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二十一、国有资本经营预算支出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二十二、灾害防治及应急管理支出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53</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二十三、其他支出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bCs/>
                      <w:i w:val="0"/>
                      <w:iCs w:val="0"/>
                      <w:color w:val="000000"/>
                      <w:sz w:val="20"/>
                      <w:szCs w:val="20"/>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0"/>
                      <w:szCs w:val="20"/>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二十四、债务还本支出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0"/>
                      <w:szCs w:val="20"/>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0"/>
                      <w:szCs w:val="20"/>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二十五、债务付息支出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56</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0"/>
                      <w:szCs w:val="20"/>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0"/>
                      <w:szCs w:val="20"/>
                      <w:u w:val="none"/>
                    </w:rPr>
                  </w:pP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二十六、抗疫特别国债安排的支出</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57</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本年收入合计</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300.34</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本年支出合计</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使用非财政拨款结余</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结余分配</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年初结转和结余</w:t>
                  </w: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6.10</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年末结转和结余</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1558"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1638" w:type="dxa"/>
                  <w:tcBorders>
                    <w:top w:val="nil"/>
                    <w:left w:val="nil"/>
                    <w:bottom w:val="single" w:color="000000" w:sz="4" w:space="0"/>
                    <w:right w:val="single" w:color="000000" w:sz="4" w:space="0"/>
                  </w:tcBorders>
                  <w:shd w:val="clear"/>
                  <w:noWrap/>
                  <w:vAlign w:val="center"/>
                </w:tcPr>
                <w:p>
                  <w:pPr>
                    <w:jc w:val="right"/>
                    <w:rPr>
                      <w:rFonts w:hint="eastAsia" w:ascii="宋体" w:hAnsi="宋体" w:eastAsia="宋体" w:cs="宋体"/>
                      <w:i w:val="0"/>
                      <w:iCs w:val="0"/>
                      <w:color w:val="000000"/>
                      <w:sz w:val="22"/>
                      <w:szCs w:val="22"/>
                      <w:u w:val="none"/>
                    </w:rPr>
                  </w:pPr>
                </w:p>
              </w:tc>
              <w:tc>
                <w:tcPr>
                  <w:tcW w:w="4375" w:type="dxa"/>
                  <w:gridSpan w:val="3"/>
                  <w:tcBorders>
                    <w:top w:val="nil"/>
                    <w:left w:val="nil"/>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w:t>
                  </w:r>
                </w:p>
              </w:tc>
              <w:tc>
                <w:tcPr>
                  <w:tcW w:w="1971" w:type="dxa"/>
                  <w:gridSpan w:val="2"/>
                  <w:tcBorders>
                    <w:top w:val="nil"/>
                    <w:left w:val="nil"/>
                    <w:bottom w:val="single" w:color="000000" w:sz="4" w:space="0"/>
                    <w:right w:val="single" w:color="000000" w:sz="4" w:space="0"/>
                  </w:tcBorders>
                  <w:shd w:val="clear"/>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363" w:hRule="atLeast"/>
              </w:trPr>
              <w:tc>
                <w:tcPr>
                  <w:tcW w:w="3645" w:type="dxa"/>
                  <w:gridSpan w:val="2"/>
                  <w:tcBorders>
                    <w:top w:val="nil"/>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总计</w:t>
                  </w:r>
                </w:p>
              </w:tc>
              <w:tc>
                <w:tcPr>
                  <w:tcW w:w="1558" w:type="dxa"/>
                  <w:gridSpan w:val="3"/>
                  <w:tcBorders>
                    <w:top w:val="nil"/>
                    <w:left w:val="nil"/>
                    <w:bottom w:val="single" w:color="000000" w:sz="8"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1638"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306.44</w:t>
                  </w:r>
                </w:p>
              </w:tc>
              <w:tc>
                <w:tcPr>
                  <w:tcW w:w="4375" w:type="dxa"/>
                  <w:gridSpan w:val="3"/>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总计</w:t>
                  </w:r>
                </w:p>
              </w:tc>
              <w:tc>
                <w:tcPr>
                  <w:tcW w:w="585" w:type="dxa"/>
                  <w:tcBorders>
                    <w:top w:val="nil"/>
                    <w:left w:val="nil"/>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1971" w:type="dxa"/>
                  <w:gridSpan w:val="2"/>
                  <w:tcBorders>
                    <w:top w:val="nil"/>
                    <w:left w:val="nil"/>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 w:type="dxa"/>
                <w:trHeight w:val="801" w:hRule="atLeast"/>
              </w:trPr>
              <w:tc>
                <w:tcPr>
                  <w:tcW w:w="13772" w:type="dxa"/>
                  <w:gridSpan w:val="12"/>
                  <w:tcBorders>
                    <w:top w:val="nil"/>
                    <w:left w:val="nil"/>
                    <w:bottom w:val="nil"/>
                    <w:right w:val="nil"/>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注：本表反映部门本年度的总收支和年末结转结余情况。本套报表金额单位转换时可能存在尾数误差。</w:t>
                  </w:r>
                </w:p>
              </w:tc>
            </w:tr>
          </w:tbl>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90" w:hRule="atLeast"/>
        </w:trPr>
        <w:tc>
          <w:tcPr>
            <w:tcW w:w="14080" w:type="dxa"/>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p>
        </w:tc>
      </w:tr>
    </w:tbl>
    <w:p>
      <w:pPr>
        <w:jc w:val="center"/>
        <w:rPr>
          <w:rFonts w:ascii="黑体" w:hAnsi="黑体" w:eastAsia="黑体"/>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tbl>
      <w:tblPr>
        <w:tblStyle w:val="5"/>
        <w:tblW w:w="14247" w:type="dxa"/>
        <w:tblInd w:w="0" w:type="dxa"/>
        <w:tblLayout w:type="fixed"/>
        <w:tblCellMar>
          <w:top w:w="0" w:type="dxa"/>
          <w:left w:w="0" w:type="dxa"/>
          <w:bottom w:w="0" w:type="dxa"/>
          <w:right w:w="0" w:type="dxa"/>
        </w:tblCellMar>
      </w:tblPr>
      <w:tblGrid>
        <w:gridCol w:w="44"/>
        <w:gridCol w:w="1003"/>
        <w:gridCol w:w="3263"/>
        <w:gridCol w:w="1487"/>
        <w:gridCol w:w="1475"/>
        <w:gridCol w:w="1425"/>
        <w:gridCol w:w="1294"/>
        <w:gridCol w:w="1312"/>
        <w:gridCol w:w="1313"/>
        <w:gridCol w:w="1631"/>
      </w:tblGrid>
      <w:tr>
        <w:tblPrEx>
          <w:tblCellMar>
            <w:top w:w="0" w:type="dxa"/>
            <w:left w:w="0" w:type="dxa"/>
            <w:bottom w:w="0" w:type="dxa"/>
            <w:right w:w="0" w:type="dxa"/>
          </w:tblCellMar>
        </w:tblPrEx>
        <w:trPr>
          <w:trHeight w:val="507" w:hRule="atLeast"/>
        </w:trPr>
        <w:tc>
          <w:tcPr>
            <w:tcW w:w="14247"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177" w:hRule="atLeast"/>
        </w:trPr>
        <w:tc>
          <w:tcPr>
            <w:tcW w:w="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26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1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3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177" w:hRule="atLeast"/>
        </w:trPr>
        <w:tc>
          <w:tcPr>
            <w:tcW w:w="431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color w:val="000000"/>
                <w:sz w:val="20"/>
                <w:szCs w:val="20"/>
              </w:rPr>
              <w:t>部门：</w:t>
            </w:r>
            <w:r>
              <w:rPr>
                <w:rFonts w:hint="eastAsia"/>
                <w:color w:val="000000"/>
                <w:sz w:val="20"/>
                <w:szCs w:val="20"/>
                <w:lang w:eastAsia="zh-CN"/>
              </w:rPr>
              <w:t>沅江市信访局</w:t>
            </w:r>
            <w:r>
              <w:rPr>
                <w:rFonts w:hint="eastAsia"/>
              </w:rPr>
              <w:t>　</w:t>
            </w:r>
          </w:p>
        </w:tc>
        <w:tc>
          <w:tcPr>
            <w:tcW w:w="148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2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1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3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31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项目</w:t>
            </w:r>
          </w:p>
        </w:tc>
        <w:tc>
          <w:tcPr>
            <w:tcW w:w="148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4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29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1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3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04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263"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48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9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1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3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12" w:hRule="atLeast"/>
        </w:trPr>
        <w:tc>
          <w:tcPr>
            <w:tcW w:w="104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263"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9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1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3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15" w:hRule="atLeast"/>
        </w:trPr>
        <w:tc>
          <w:tcPr>
            <w:tcW w:w="431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4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4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29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63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431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300.34</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300.04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0.30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284.01</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284.01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284.01</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284.01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2010301</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115.90</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115.90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2010302</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34.66</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34.66</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2010308</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133.45</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133.45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抚恤</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2080899</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其他优抚支出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22999</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r>
      <w:tr>
        <w:tblPrEx>
          <w:tblCellMar>
            <w:top w:w="0" w:type="dxa"/>
            <w:left w:w="0" w:type="dxa"/>
            <w:bottom w:w="0" w:type="dxa"/>
            <w:right w:w="0" w:type="dxa"/>
          </w:tblCellMar>
        </w:tblPrEx>
        <w:trPr>
          <w:trHeight w:val="397" w:hRule="atLeast"/>
        </w:trPr>
        <w:tc>
          <w:tcPr>
            <w:tcW w:w="10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2299901</w:t>
            </w:r>
          </w:p>
        </w:tc>
        <w:tc>
          <w:tcPr>
            <w:tcW w:w="3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48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4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1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r>
      <w:tr>
        <w:tblPrEx>
          <w:tblCellMar>
            <w:top w:w="0" w:type="dxa"/>
            <w:left w:w="0" w:type="dxa"/>
            <w:bottom w:w="0" w:type="dxa"/>
            <w:right w:w="0" w:type="dxa"/>
          </w:tblCellMar>
        </w:tblPrEx>
        <w:trPr>
          <w:trHeight w:val="615" w:hRule="atLeast"/>
        </w:trPr>
        <w:tc>
          <w:tcPr>
            <w:tcW w:w="14247"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5"/>
        <w:tblpPr w:leftFromText="180" w:rightFromText="180" w:vertAnchor="text" w:horzAnchor="page" w:tblpX="1620" w:tblpY="605"/>
        <w:tblOverlap w:val="never"/>
        <w:tblW w:w="13183" w:type="dxa"/>
        <w:tblInd w:w="0" w:type="dxa"/>
        <w:tblLayout w:type="fixed"/>
        <w:tblCellMar>
          <w:top w:w="0" w:type="dxa"/>
          <w:left w:w="108" w:type="dxa"/>
          <w:bottom w:w="0" w:type="dxa"/>
          <w:right w:w="108" w:type="dxa"/>
        </w:tblCellMar>
      </w:tblPr>
      <w:tblGrid>
        <w:gridCol w:w="1042"/>
        <w:gridCol w:w="240"/>
        <w:gridCol w:w="3517"/>
        <w:gridCol w:w="1688"/>
        <w:gridCol w:w="1350"/>
        <w:gridCol w:w="1350"/>
        <w:gridCol w:w="1237"/>
        <w:gridCol w:w="1332"/>
        <w:gridCol w:w="1427"/>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1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374" w:hRule="atLeast"/>
        </w:trPr>
        <w:tc>
          <w:tcPr>
            <w:tcW w:w="4799"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i w:val="0"/>
                <w:iCs w:val="0"/>
                <w:color w:val="000000"/>
                <w:kern w:val="0"/>
                <w:sz w:val="20"/>
                <w:szCs w:val="20"/>
                <w:u w:val="none"/>
                <w:lang w:val="en-US" w:eastAsia="zh-CN" w:bidi="ar"/>
              </w:rPr>
              <w:t>部门：沅江市信访局</w:t>
            </w:r>
            <w:r>
              <w:rPr>
                <w:rFonts w:hint="eastAsia" w:ascii="宋体" w:hAnsi="宋体" w:eastAsia="宋体" w:cs="宋体"/>
                <w:kern w:val="0"/>
                <w:sz w:val="24"/>
                <w:szCs w:val="24"/>
              </w:rPr>
              <w:t>　</w:t>
            </w:r>
          </w:p>
        </w:tc>
        <w:tc>
          <w:tcPr>
            <w:tcW w:w="168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79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8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3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3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33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42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51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12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5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7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8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2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3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4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79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275.21</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186.84</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88.37</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258.89</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178.26</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80.62</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258.89</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178.26</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80.62</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2010301</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115.90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115.90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2010302</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34.66</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34.66</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2010308</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108.32</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62.36</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45.96</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抚恤</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2080899</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其他优抚支出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22999</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1"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2299901</w:t>
            </w:r>
          </w:p>
        </w:tc>
        <w:tc>
          <w:tcPr>
            <w:tcW w:w="351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6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0.30</w:t>
            </w:r>
          </w:p>
        </w:tc>
        <w:tc>
          <w:tcPr>
            <w:tcW w:w="1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jc w:val="both"/>
        <w:rPr>
          <w:rFonts w:hint="eastAsia" w:ascii="Times New Roman" w:hAnsi="Times New Roman" w:eastAsia="方正小标宋_GBK" w:cs="Times New Roman"/>
          <w:color w:val="000000"/>
          <w:kern w:val="0"/>
          <w:sz w:val="36"/>
          <w:szCs w:val="21"/>
          <w:lang w:eastAsia="zh-CN"/>
        </w:rPr>
      </w:pPr>
    </w:p>
    <w:tbl>
      <w:tblPr>
        <w:tblStyle w:val="5"/>
        <w:tblW w:w="15523" w:type="dxa"/>
        <w:tblInd w:w="91" w:type="dxa"/>
        <w:tblLayout w:type="fixed"/>
        <w:tblCellMar>
          <w:top w:w="0" w:type="dxa"/>
          <w:left w:w="108" w:type="dxa"/>
          <w:bottom w:w="0" w:type="dxa"/>
          <w:right w:w="108" w:type="dxa"/>
        </w:tblCellMar>
      </w:tblPr>
      <w:tblGrid>
        <w:gridCol w:w="3243"/>
        <w:gridCol w:w="600"/>
        <w:gridCol w:w="1387"/>
        <w:gridCol w:w="3450"/>
        <w:gridCol w:w="825"/>
        <w:gridCol w:w="1332"/>
        <w:gridCol w:w="1575"/>
        <w:gridCol w:w="1538"/>
        <w:gridCol w:w="1573"/>
      </w:tblGrid>
      <w:tr>
        <w:tblPrEx>
          <w:tblCellMar>
            <w:top w:w="0" w:type="dxa"/>
            <w:left w:w="108" w:type="dxa"/>
            <w:bottom w:w="0" w:type="dxa"/>
            <w:right w:w="108" w:type="dxa"/>
          </w:tblCellMar>
        </w:tblPrEx>
        <w:trPr>
          <w:trHeight w:val="285" w:hRule="atLeast"/>
        </w:trPr>
        <w:tc>
          <w:tcPr>
            <w:tcW w:w="15523" w:type="dxa"/>
            <w:gridSpan w:val="9"/>
            <w:tcBorders>
              <w:top w:val="nil"/>
              <w:left w:val="nil"/>
              <w:bottom w:val="nil"/>
              <w:right w:val="nil"/>
            </w:tcBorders>
            <w:shd w:val="clear" w:color="auto" w:fill="auto"/>
            <w:noWrap/>
            <w:vAlign w:val="bottom"/>
          </w:tcPr>
          <w:p>
            <w:pPr>
              <w:jc w:val="center"/>
              <w:rPr>
                <w:rFonts w:ascii="宋体" w:hAnsi="宋体" w:eastAsia="宋体" w:cs="宋体"/>
                <w:kern w:val="0"/>
                <w:sz w:val="24"/>
                <w:szCs w:val="24"/>
              </w:rPr>
            </w:pPr>
            <w:bookmarkStart w:id="0" w:name="RANGE!A1:I22"/>
            <w:bookmarkEnd w:id="0"/>
            <w:bookmarkStart w:id="1" w:name="RANGE!A1:F16"/>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tblCellMar>
            <w:top w:w="0" w:type="dxa"/>
            <w:left w:w="108" w:type="dxa"/>
            <w:bottom w:w="0" w:type="dxa"/>
            <w:right w:w="108" w:type="dxa"/>
          </w:tblCellMar>
        </w:tblPrEx>
        <w:trPr>
          <w:trHeight w:val="360" w:hRule="atLeast"/>
        </w:trPr>
        <w:tc>
          <w:tcPr>
            <w:tcW w:w="3243" w:type="dxa"/>
            <w:tcBorders>
              <w:top w:val="nil"/>
              <w:left w:val="nil"/>
              <w:bottom w:val="nil"/>
              <w:right w:val="nil"/>
            </w:tcBorders>
            <w:shd w:val="clear" w:color="auto" w:fill="auto"/>
            <w:noWrap/>
            <w:vAlign w:val="bottom"/>
          </w:tcPr>
          <w:p>
            <w:pPr>
              <w:rPr>
                <w:rFonts w:ascii="华文中宋" w:hAnsi="华文中宋" w:eastAsia="华文中宋" w:cs="宋体"/>
                <w:color w:val="000000"/>
                <w:kern w:val="0"/>
                <w:sz w:val="32"/>
                <w:szCs w:val="32"/>
              </w:rPr>
            </w:pPr>
          </w:p>
        </w:tc>
        <w:tc>
          <w:tcPr>
            <w:tcW w:w="600" w:type="dxa"/>
            <w:tcBorders>
              <w:top w:val="nil"/>
              <w:left w:val="nil"/>
              <w:bottom w:val="nil"/>
              <w:right w:val="nil"/>
            </w:tcBorders>
            <w:shd w:val="clear" w:color="auto" w:fill="auto"/>
            <w:noWrap/>
            <w:vAlign w:val="bottom"/>
          </w:tcPr>
          <w:p/>
        </w:tc>
        <w:tc>
          <w:tcPr>
            <w:tcW w:w="1387" w:type="dxa"/>
            <w:tcBorders>
              <w:top w:val="nil"/>
              <w:left w:val="nil"/>
              <w:bottom w:val="nil"/>
              <w:right w:val="nil"/>
            </w:tcBorders>
            <w:shd w:val="clear" w:color="auto" w:fill="auto"/>
            <w:noWrap/>
            <w:vAlign w:val="bottom"/>
          </w:tcPr>
          <w:p/>
        </w:tc>
        <w:tc>
          <w:tcPr>
            <w:tcW w:w="3450" w:type="dxa"/>
            <w:tcBorders>
              <w:top w:val="nil"/>
              <w:left w:val="nil"/>
              <w:bottom w:val="nil"/>
              <w:right w:val="nil"/>
            </w:tcBorders>
            <w:shd w:val="clear" w:color="auto" w:fill="auto"/>
            <w:noWrap/>
            <w:vAlign w:val="bottom"/>
          </w:tcPr>
          <w:p/>
        </w:tc>
        <w:tc>
          <w:tcPr>
            <w:tcW w:w="825" w:type="dxa"/>
            <w:tcBorders>
              <w:top w:val="nil"/>
              <w:left w:val="nil"/>
              <w:bottom w:val="nil"/>
              <w:right w:val="nil"/>
            </w:tcBorders>
            <w:shd w:val="clear" w:color="auto" w:fill="auto"/>
            <w:noWrap/>
            <w:vAlign w:val="bottom"/>
          </w:tcPr>
          <w:p/>
        </w:tc>
        <w:tc>
          <w:tcPr>
            <w:tcW w:w="1332" w:type="dxa"/>
            <w:tcBorders>
              <w:top w:val="nil"/>
              <w:left w:val="nil"/>
              <w:bottom w:val="nil"/>
              <w:right w:val="nil"/>
            </w:tcBorders>
            <w:shd w:val="clear" w:color="auto" w:fill="auto"/>
            <w:noWrap/>
            <w:vAlign w:val="bottom"/>
          </w:tcPr>
          <w:p/>
        </w:tc>
        <w:tc>
          <w:tcPr>
            <w:tcW w:w="1575" w:type="dxa"/>
            <w:tcBorders>
              <w:top w:val="nil"/>
              <w:left w:val="nil"/>
              <w:bottom w:val="nil"/>
              <w:right w:val="nil"/>
            </w:tcBorders>
            <w:shd w:val="clear" w:color="auto" w:fill="auto"/>
            <w:noWrap/>
            <w:vAlign w:val="bottom"/>
          </w:tcPr>
          <w:p/>
        </w:tc>
        <w:tc>
          <w:tcPr>
            <w:tcW w:w="1538" w:type="dxa"/>
            <w:tcBorders>
              <w:top w:val="nil"/>
              <w:left w:val="nil"/>
              <w:bottom w:val="nil"/>
              <w:right w:val="nil"/>
            </w:tcBorders>
            <w:shd w:val="clear" w:color="auto" w:fill="auto"/>
            <w:noWrap/>
            <w:vAlign w:val="bottom"/>
          </w:tcPr>
          <w:p/>
        </w:tc>
        <w:tc>
          <w:tcPr>
            <w:tcW w:w="157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20"/>
                <w:szCs w:val="20"/>
                <w:u w:val="none"/>
                <w:lang w:val="en-US" w:eastAsia="zh-CN" w:bidi="ar"/>
              </w:rPr>
              <w:t>公开04表</w:t>
            </w:r>
          </w:p>
        </w:tc>
      </w:tr>
      <w:tr>
        <w:tblPrEx>
          <w:tblCellMar>
            <w:top w:w="0" w:type="dxa"/>
            <w:left w:w="108" w:type="dxa"/>
            <w:bottom w:w="0" w:type="dxa"/>
            <w:right w:w="108" w:type="dxa"/>
          </w:tblCellMar>
        </w:tblPrEx>
        <w:trPr>
          <w:trHeight w:val="199" w:hRule="atLeast"/>
        </w:trPr>
        <w:tc>
          <w:tcPr>
            <w:tcW w:w="3243" w:type="dxa"/>
            <w:tcBorders>
              <w:top w:val="nil"/>
              <w:left w:val="nil"/>
              <w:bottom w:val="single" w:color="auto" w:sz="4" w:space="0"/>
              <w:right w:val="nil"/>
            </w:tcBorders>
            <w:shd w:val="clear" w:color="000000" w:fill="FFFFFF"/>
            <w:noWrap/>
            <w:vAlign w:val="bottom"/>
          </w:tcPr>
          <w:p>
            <w:pPr>
              <w:keepNext w:val="0"/>
              <w:keepLines w:val="0"/>
              <w:widowControl/>
              <w:suppressLineNumbers w:val="0"/>
              <w:jc w:val="left"/>
              <w:textAlignment w:val="bottom"/>
              <w:rPr>
                <w:rFonts w:ascii="宋体" w:hAnsi="宋体" w:eastAsia="宋体" w:cs="宋体"/>
                <w:kern w:val="0"/>
                <w:sz w:val="24"/>
                <w:szCs w:val="24"/>
              </w:rPr>
            </w:pPr>
            <w:r>
              <w:rPr>
                <w:rFonts w:hint="eastAsia" w:ascii="宋体" w:hAnsi="宋体" w:eastAsia="宋体" w:cs="宋体"/>
                <w:i w:val="0"/>
                <w:iCs w:val="0"/>
                <w:color w:val="000000"/>
                <w:kern w:val="0"/>
                <w:sz w:val="20"/>
                <w:szCs w:val="20"/>
                <w:u w:val="none"/>
                <w:lang w:val="en-US" w:eastAsia="zh-CN" w:bidi="ar"/>
              </w:rPr>
              <w:t>部门：沅江市信访局</w:t>
            </w:r>
          </w:p>
        </w:tc>
        <w:tc>
          <w:tcPr>
            <w:tcW w:w="600"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1387"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3450"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825"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1332"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1575"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1538" w:type="dxa"/>
            <w:tcBorders>
              <w:top w:val="nil"/>
              <w:left w:val="nil"/>
              <w:bottom w:val="single" w:color="auto" w:sz="4" w:space="0"/>
              <w:right w:val="nil"/>
            </w:tcBorders>
            <w:shd w:val="clear" w:color="000000" w:fill="FFFFFF"/>
            <w:noWrap/>
            <w:vAlign w:val="bottom"/>
          </w:tcPr>
          <w:p>
            <w:pPr>
              <w:rPr>
                <w:rFonts w:ascii="宋体" w:hAnsi="宋体" w:eastAsia="宋体" w:cs="宋体"/>
                <w:kern w:val="0"/>
                <w:sz w:val="24"/>
                <w:szCs w:val="24"/>
              </w:rPr>
            </w:pPr>
          </w:p>
        </w:tc>
        <w:tc>
          <w:tcPr>
            <w:tcW w:w="1573" w:type="dxa"/>
            <w:tcBorders>
              <w:top w:val="nil"/>
              <w:left w:val="nil"/>
              <w:bottom w:val="single" w:color="auto" w:sz="4" w:space="0"/>
              <w:right w:val="nil"/>
            </w:tcBorders>
            <w:shd w:val="clear" w:color="000000" w:fill="FFFFFF"/>
            <w:noWrap/>
            <w:vAlign w:val="bottom"/>
          </w:tcPr>
          <w:p>
            <w:pPr>
              <w:keepNext w:val="0"/>
              <w:keepLines w:val="0"/>
              <w:widowControl/>
              <w:suppressLineNumbers w:val="0"/>
              <w:jc w:val="right"/>
              <w:textAlignment w:val="bottom"/>
              <w:rPr>
                <w:rFonts w:ascii="宋体" w:hAnsi="宋体" w:eastAsia="宋体" w:cs="宋体"/>
                <w:color w:val="000000"/>
                <w:kern w:val="0"/>
                <w:sz w:val="20"/>
                <w:szCs w:val="20"/>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523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收     入</w:t>
            </w:r>
          </w:p>
        </w:tc>
        <w:tc>
          <w:tcPr>
            <w:tcW w:w="10293"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color w:val="000000"/>
                <w:kern w:val="0"/>
                <w:sz w:val="20"/>
                <w:szCs w:val="20"/>
              </w:rPr>
            </w:pPr>
            <w:r>
              <w:rPr>
                <w:rFonts w:hint="eastAsia" w:ascii="宋体" w:hAnsi="宋体" w:eastAsia="宋体" w:cs="宋体"/>
                <w:i w:val="0"/>
                <w:iCs w:val="0"/>
                <w:color w:val="000000"/>
                <w:kern w:val="0"/>
                <w:sz w:val="22"/>
                <w:szCs w:val="22"/>
                <w:u w:val="none"/>
                <w:lang w:val="en-US" w:eastAsia="zh-CN" w:bidi="ar"/>
              </w:rPr>
              <w:t>支     出</w:t>
            </w:r>
          </w:p>
        </w:tc>
      </w:tr>
      <w:tr>
        <w:tblPrEx>
          <w:tblCellMar>
            <w:top w:w="0" w:type="dxa"/>
            <w:left w:w="108" w:type="dxa"/>
            <w:bottom w:w="0" w:type="dxa"/>
            <w:right w:w="108" w:type="dxa"/>
          </w:tblCellMar>
        </w:tblPrEx>
        <w:trPr>
          <w:trHeight w:val="402" w:hRule="atLeast"/>
        </w:trPr>
        <w:tc>
          <w:tcPr>
            <w:tcW w:w="324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项目</w:t>
            </w:r>
          </w:p>
        </w:tc>
        <w:tc>
          <w:tcPr>
            <w:tcW w:w="60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1387"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金额</w:t>
            </w:r>
          </w:p>
        </w:tc>
        <w:tc>
          <w:tcPr>
            <w:tcW w:w="345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w:t>
            </w:r>
          </w:p>
        </w:tc>
        <w:tc>
          <w:tcPr>
            <w:tcW w:w="82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13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合计</w:t>
            </w:r>
          </w:p>
        </w:tc>
        <w:tc>
          <w:tcPr>
            <w:tcW w:w="157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538"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57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CellMar>
            <w:top w:w="0" w:type="dxa"/>
            <w:left w:w="108" w:type="dxa"/>
            <w:bottom w:w="0" w:type="dxa"/>
            <w:right w:w="108" w:type="dxa"/>
          </w:tblCellMar>
        </w:tblPrEx>
        <w:trPr>
          <w:trHeight w:val="442"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60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0"/>
                <w:szCs w:val="20"/>
              </w:rPr>
            </w:pPr>
          </w:p>
        </w:tc>
        <w:tc>
          <w:tcPr>
            <w:tcW w:w="13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w:t>
            </w: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825"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0"/>
                <w:szCs w:val="20"/>
              </w:rPr>
            </w:pP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w:t>
            </w:r>
          </w:p>
        </w:tc>
        <w:tc>
          <w:tcPr>
            <w:tcW w:w="153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w:t>
            </w:r>
          </w:p>
        </w:tc>
        <w:tc>
          <w:tcPr>
            <w:tcW w:w="157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w:t>
            </w:r>
          </w:p>
        </w:tc>
        <w:tc>
          <w:tcPr>
            <w:tcW w:w="13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300.04</w:t>
            </w: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258.89</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258.89</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3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3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7.45</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7.45</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b/>
                <w:bCs/>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十一、城乡社区支出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十三、交通运输支出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2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3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nil"/>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b/>
                <w:bCs/>
                <w:kern w:val="0"/>
                <w:sz w:val="22"/>
              </w:rPr>
            </w:pPr>
          </w:p>
        </w:tc>
        <w:tc>
          <w:tcPr>
            <w:tcW w:w="60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38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45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2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3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16</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十六、金融支出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48</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17</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49</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50</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19</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十九、住房保障支出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51</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8.58</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8.58</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52</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53</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22</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54</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23</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二十三、其他支出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55</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24</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二十四、债务还本支出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56</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25</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二十五、债务付息支出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57</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26</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58</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300.04</w:t>
            </w: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b/>
                <w:bCs/>
                <w:i w:val="0"/>
                <w:iCs w:val="0"/>
                <w:color w:val="000000"/>
                <w:kern w:val="0"/>
                <w:sz w:val="22"/>
                <w:szCs w:val="22"/>
                <w:u w:val="none"/>
                <w:lang w:val="en-US" w:eastAsia="zh-CN" w:bidi="ar"/>
              </w:rPr>
              <w:t>本年支出合计</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59</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274.91</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274.91</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28</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6.10</w:t>
            </w: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60</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31.23</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31.23</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6.10</w:t>
            </w: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61</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62</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63</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pPr>
          </w:p>
        </w:tc>
      </w:tr>
      <w:tr>
        <w:tblPrEx>
          <w:tblCellMar>
            <w:top w:w="0" w:type="dxa"/>
            <w:left w:w="108" w:type="dxa"/>
            <w:bottom w:w="0" w:type="dxa"/>
            <w:right w:w="108" w:type="dxa"/>
          </w:tblCellMar>
        </w:tblPrEx>
        <w:trPr>
          <w:trHeight w:val="397" w:hRule="atLeast"/>
        </w:trPr>
        <w:tc>
          <w:tcPr>
            <w:tcW w:w="32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306.14</w:t>
            </w:r>
          </w:p>
        </w:tc>
        <w:tc>
          <w:tcPr>
            <w:tcW w:w="34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b/>
                <w:bCs/>
                <w:i w:val="0"/>
                <w:iCs w:val="0"/>
                <w:color w:val="000000"/>
                <w:kern w:val="0"/>
                <w:sz w:val="22"/>
                <w:szCs w:val="22"/>
                <w:u w:val="none"/>
                <w:lang w:val="en-US" w:eastAsia="zh-CN" w:bidi="ar"/>
              </w:rPr>
              <w:t>总计</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306.14</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306.14</w:t>
            </w:r>
          </w:p>
        </w:tc>
        <w:tc>
          <w:tcPr>
            <w:tcW w:w="15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3950" w:type="dxa"/>
            <w:gridSpan w:val="8"/>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573" w:type="dxa"/>
            <w:tcBorders>
              <w:top w:val="single" w:color="auto" w:sz="4" w:space="0"/>
              <w:left w:val="nil"/>
              <w:bottom w:val="nil"/>
              <w:right w:val="nil"/>
            </w:tcBorders>
            <w:shd w:val="clear" w:color="auto" w:fill="auto"/>
            <w:vAlign w:val="center"/>
          </w:tcPr>
          <w:p>
            <w:pPr>
              <w:jc w:val="left"/>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沅江市信访局</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ind w:firstLine="13650" w:firstLineChars="65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274.91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186.84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88.07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258.89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178.26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80.62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258.89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178.26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80.62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115.90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115.90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34.66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34.66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108.32</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62.36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45.96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7.45</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7.45</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其他优抚支出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7.45</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0" w:type="auto"/>
        <w:tblInd w:w="0" w:type="dxa"/>
        <w:tblLayout w:type="autofit"/>
        <w:tblCellMar>
          <w:top w:w="0" w:type="dxa"/>
          <w:left w:w="108" w:type="dxa"/>
          <w:bottom w:w="0" w:type="dxa"/>
          <w:right w:w="108" w:type="dxa"/>
        </w:tblCellMar>
      </w:tblPr>
      <w:tblGrid>
        <w:gridCol w:w="1338"/>
        <w:gridCol w:w="3366"/>
        <w:gridCol w:w="876"/>
        <w:gridCol w:w="897"/>
        <w:gridCol w:w="2316"/>
        <w:gridCol w:w="766"/>
        <w:gridCol w:w="898"/>
        <w:gridCol w:w="4206"/>
        <w:gridCol w:w="951"/>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沅江市信访局</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136.03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46.64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50.94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29.91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19.78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7.48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11.95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4.89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10.74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0.54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3.68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7.79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0.49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8.38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1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9.83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140.20</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46.64</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沅江市信访局</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670"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7.36</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7.36</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7.36</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nil"/>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7.36</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hint="default" w:ascii="Times New Roman" w:hAnsi="Times New Roman" w:eastAsia="仿宋_GB2312" w:cs="Times New Roman"/>
          <w:color w:val="000000"/>
          <w:kern w:val="0"/>
          <w:szCs w:val="21"/>
          <w:lang w:val="en-US" w:eastAsia="zh-CN"/>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沅江市信访局</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公开08表</w:t>
      </w:r>
      <w:r>
        <w:rPr>
          <w:rFonts w:hint="eastAsia" w:ascii="Times New Roman" w:hAnsi="Times New Roman" w:eastAsia="仿宋_GB2312" w:cs="Times New Roman"/>
          <w:color w:val="000000"/>
          <w:kern w:val="0"/>
          <w:szCs w:val="21"/>
          <w:lang w:val="en-US" w:eastAsia="zh-CN"/>
        </w:rPr>
        <w:t xml:space="preserve">    </w:t>
      </w:r>
    </w:p>
    <w:p>
      <w:pPr>
        <w:widowControl/>
        <w:wordWrap w:val="0"/>
        <w:jc w:val="right"/>
        <w:rPr>
          <w:rFonts w:hint="default" w:ascii="Times New Roman" w:hAnsi="Times New Roman" w:eastAsia="仿宋_GB2312" w:cs="Times New Roman"/>
          <w:color w:val="000000"/>
          <w:kern w:val="0"/>
          <w:szCs w:val="21"/>
          <w:lang w:val="en-US" w:eastAsia="zh-CN"/>
        </w:rPr>
      </w:pPr>
      <w:r>
        <w:rPr>
          <w:rFonts w:ascii="Times New Roman" w:hAnsi="Times New Roman" w:eastAsia="仿宋_GB2312" w:cs="Times New Roman"/>
          <w:color w:val="000000"/>
          <w:kern w:val="0"/>
          <w:szCs w:val="21"/>
        </w:rPr>
        <w:t>单位：万元</w:t>
      </w:r>
      <w:r>
        <w:rPr>
          <w:rFonts w:hint="eastAsia" w:ascii="Times New Roman" w:hAnsi="Times New Roman" w:eastAsia="仿宋_GB2312" w:cs="Times New Roman"/>
          <w:color w:val="000000"/>
          <w:kern w:val="0"/>
          <w:szCs w:val="21"/>
          <w:lang w:val="en-US" w:eastAsia="zh-CN"/>
        </w:rPr>
        <w:t xml:space="preserve">     </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hint="eastAsia" w:ascii="宋体" w:hAnsi="宋体" w:eastAsia="宋体" w:cs="宋体"/>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沅江市信访局</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575.55</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18.85</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7.25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单位本年度人员经费与日常公用经费收支增加。</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300.34</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300.04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99.9</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275.21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186.84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67.89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83.37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32.11</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%；对附属单位补助支出X</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2020年度财政拨款收、支总计</w:t>
      </w:r>
      <w:r>
        <w:rPr>
          <w:rFonts w:hint="eastAsia" w:asciiTheme="minorEastAsia" w:hAnsiTheme="minorEastAsia" w:eastAsiaTheme="minorEastAsia"/>
          <w:sz w:val="32"/>
          <w:szCs w:val="32"/>
          <w:lang w:val="en-US" w:eastAsia="zh-CN"/>
        </w:rPr>
        <w:t>574.95</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18.26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7.03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单位本年度人员经费与日常公用经费收支增加。</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274.91</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99.89</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12.02</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4.19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本年度人员经费与日常公用经费支出增加。</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274.91</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258.89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94.17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w:t>
      </w:r>
      <w:r>
        <w:rPr>
          <w:rFonts w:hint="eastAsia" w:asciiTheme="minorEastAsia" w:hAnsiTheme="minorEastAsia" w:eastAsiaTheme="minorEastAsia"/>
          <w:sz w:val="32"/>
          <w:szCs w:val="32"/>
        </w:rPr>
        <w:t>（类）支出</w:t>
      </w:r>
      <w:r>
        <w:rPr>
          <w:rFonts w:hint="eastAsia" w:asciiTheme="minorEastAsia" w:hAnsiTheme="minorEastAsia" w:eastAsiaTheme="minorEastAsia"/>
          <w:sz w:val="32"/>
          <w:szCs w:val="32"/>
          <w:lang w:val="en-US" w:eastAsia="zh-CN"/>
        </w:rPr>
        <w:t>7.45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2.71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住房保障（类）支出</w:t>
      </w:r>
      <w:r>
        <w:rPr>
          <w:rFonts w:hint="eastAsia" w:asciiTheme="minorEastAsia" w:hAnsiTheme="minorEastAsia" w:eastAsiaTheme="minorEastAsia"/>
          <w:sz w:val="32"/>
          <w:szCs w:val="32"/>
          <w:lang w:val="en-US" w:eastAsia="zh-CN"/>
        </w:rPr>
        <w:t>8.58万元，占3.12%。</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209.78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274.91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131.05</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w:t>
      </w:r>
      <w:r>
        <w:rPr>
          <w:rFonts w:hint="eastAsia" w:asciiTheme="minorEastAsia" w:hAnsiTheme="minorEastAsia" w:eastAsiaTheme="minorEastAsia"/>
          <w:sz w:val="32"/>
          <w:szCs w:val="32"/>
          <w:lang w:eastAsia="zh-CN"/>
        </w:rPr>
        <w:t>政府办公厅（室）及相关运行事务</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行政运行</w:t>
      </w:r>
      <w:r>
        <w:rPr>
          <w:rFonts w:hint="eastAsia" w:asciiTheme="minorEastAsia" w:hAnsiTheme="minorEastAsia" w:eastAsiaTheme="minorEastAsia"/>
          <w:sz w:val="32"/>
          <w:szCs w:val="32"/>
        </w:rPr>
        <w:t>（项）。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96.20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115.9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120.48</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绩效工资等人员经费为预算追加指标，未纳入年初预算。</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2、一般公共服务（类）</w:t>
      </w:r>
      <w:r>
        <w:rPr>
          <w:rFonts w:hint="eastAsia" w:asciiTheme="minorEastAsia" w:hAnsiTheme="minorEastAsia" w:eastAsiaTheme="minorEastAsia"/>
          <w:sz w:val="32"/>
          <w:szCs w:val="32"/>
          <w:lang w:eastAsia="zh-CN"/>
        </w:rPr>
        <w:t>政府办公厅（室）及相关运行事务</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一般行政管理事务</w:t>
      </w:r>
      <w:r>
        <w:rPr>
          <w:rFonts w:hint="eastAsia" w:asciiTheme="minorEastAsia" w:hAnsiTheme="minorEastAsia" w:eastAsiaTheme="minorEastAsia"/>
          <w:sz w:val="32"/>
          <w:szCs w:val="32"/>
        </w:rPr>
        <w:t>（项）。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34.66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288.83</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公务交通补助在实际支出时列入了公用经费，其收入为预算追加指标，未纳入年初预算；年初预算的公用经费标准过低。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、一般公共服务（类）</w:t>
      </w:r>
      <w:r>
        <w:rPr>
          <w:rFonts w:hint="eastAsia" w:asciiTheme="minorEastAsia" w:hAnsiTheme="minorEastAsia" w:eastAsiaTheme="minorEastAsia"/>
          <w:sz w:val="32"/>
          <w:szCs w:val="32"/>
          <w:lang w:eastAsia="zh-CN"/>
        </w:rPr>
        <w:t>政府办公厅（室）及相关运行事务</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信访事务</w:t>
      </w:r>
      <w:r>
        <w:rPr>
          <w:rFonts w:hint="eastAsia" w:asciiTheme="minorEastAsia" w:hAnsiTheme="minorEastAsia" w:eastAsiaTheme="minorEastAsia"/>
          <w:sz w:val="32"/>
          <w:szCs w:val="32"/>
        </w:rPr>
        <w:t>（项）。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108.32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116.47</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部分项目支出未纳入年初单位专项，属于后期追加指标。</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抚恤</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其他优抚支出</w:t>
      </w:r>
      <w:r>
        <w:rPr>
          <w:rFonts w:hint="eastAsia" w:asciiTheme="minorEastAsia" w:hAnsiTheme="minorEastAsia" w:eastAsiaTheme="minorEastAsia"/>
          <w:sz w:val="32"/>
          <w:szCs w:val="32"/>
        </w:rPr>
        <w:t>（项）。</w:t>
      </w:r>
    </w:p>
    <w:p>
      <w:pPr>
        <w:pStyle w:val="9"/>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7.45</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eastAsia="zh-CN"/>
        </w:rPr>
        <w:t>此项支出未纳入年初预算，根据单位当年实际需要进行预算追加。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住房保障</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住房改革支出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住房公积金</w:t>
      </w:r>
      <w:r>
        <w:rPr>
          <w:rFonts w:hint="eastAsia" w:asciiTheme="minorEastAsia" w:hAnsiTheme="minorEastAsia" w:eastAsiaTheme="minorEastAsia"/>
          <w:sz w:val="32"/>
          <w:szCs w:val="32"/>
        </w:rPr>
        <w:t>（项）。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8.58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8.58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186.84</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140.20</w:t>
      </w:r>
      <w:r>
        <w:rPr>
          <w:rFonts w:hint="eastAsia" w:asciiTheme="minorEastAsia" w:hAnsiTheme="minorEastAsia" w:eastAsiaTheme="minorEastAsia"/>
          <w:sz w:val="32"/>
          <w:szCs w:val="32"/>
        </w:rPr>
        <w:t>万元，占基本支出的XX%,主要包括基本工资、津贴补贴、奖金、伙食补助费</w:t>
      </w:r>
      <w:r>
        <w:rPr>
          <w:rFonts w:hint="eastAsia" w:asciiTheme="minorEastAsia" w:hAnsiTheme="minorEastAsia" w:eastAsiaTheme="minorEastAsia"/>
          <w:sz w:val="32"/>
          <w:szCs w:val="32"/>
          <w:lang w:eastAsia="zh-CN"/>
        </w:rPr>
        <w:t>、机关事业单位养老保险缴费、职工基本医疗保险缴费、其他社会保障缴费、住房公积金、生活补助、奖励金</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46.64</w:t>
      </w:r>
      <w:r>
        <w:rPr>
          <w:rFonts w:hint="eastAsia" w:asciiTheme="minorEastAsia" w:hAnsiTheme="minorEastAsia" w:eastAsiaTheme="minorEastAsia"/>
          <w:sz w:val="32"/>
          <w:szCs w:val="32"/>
        </w:rPr>
        <w:t>万元，占基本支出的XX%，主要包括办公费、印刷费、</w:t>
      </w:r>
      <w:r>
        <w:rPr>
          <w:rFonts w:hint="eastAsia" w:asciiTheme="minorEastAsia" w:hAnsiTheme="minorEastAsia" w:eastAsiaTheme="minorEastAsia"/>
          <w:sz w:val="32"/>
          <w:szCs w:val="32"/>
          <w:lang w:eastAsia="zh-CN"/>
        </w:rPr>
        <w:t>邮电费、差旅费、维修（护）费、培训费、公务接待费、劳务费、工会经费、其他交通费用、其他商品和服务支出</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7.36</w:t>
      </w:r>
      <w:r>
        <w:rPr>
          <w:rFonts w:hint="eastAsia" w:asciiTheme="minorEastAsia" w:hAnsiTheme="minorEastAsia" w:eastAsiaTheme="minorEastAsia"/>
          <w:sz w:val="32"/>
          <w:szCs w:val="32"/>
        </w:rPr>
        <w:t>万元，完成预算的XX%，其中：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w:t>
      </w:r>
      <w:r>
        <w:rPr>
          <w:rFonts w:hint="eastAsia" w:asciiTheme="minorEastAsia" w:hAnsiTheme="minorEastAsia" w:eastAsiaTheme="minorEastAsia"/>
          <w:sz w:val="32"/>
          <w:szCs w:val="32"/>
          <w:lang w:val="en-US" w:eastAsia="zh-CN"/>
        </w:rPr>
        <w:t>1.7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7.36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432.94</w:t>
      </w:r>
      <w:r>
        <w:rPr>
          <w:rFonts w:hint="eastAsia" w:asciiTheme="minorEastAsia" w:hAnsiTheme="minorEastAsia" w:eastAsiaTheme="minorEastAsia"/>
          <w:sz w:val="32"/>
          <w:szCs w:val="32"/>
        </w:rPr>
        <w:t>%，决算数大于预算数的主要原因是</w:t>
      </w:r>
      <w:r>
        <w:rPr>
          <w:rFonts w:hint="eastAsia" w:asciiTheme="minorEastAsia" w:hAnsiTheme="minorEastAsia" w:eastAsiaTheme="minorEastAsia"/>
          <w:sz w:val="32"/>
          <w:szCs w:val="32"/>
          <w:lang w:eastAsia="zh-CN"/>
        </w:rPr>
        <w:t>预算数只包含了机关运行过程中所需的接待开支，而决算数中包含了项目支出中所涉及的接待开支，故决算数大于预算数。</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7.36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%。其中：公务接待费支出决算为</w:t>
      </w:r>
      <w:r>
        <w:rPr>
          <w:rFonts w:hint="eastAsia" w:asciiTheme="minorEastAsia" w:hAnsiTheme="minorEastAsia" w:eastAsiaTheme="minorEastAsia"/>
          <w:sz w:val="32"/>
          <w:szCs w:val="32"/>
          <w:lang w:val="en-US" w:eastAsia="zh-CN"/>
        </w:rPr>
        <w:t>7.36</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132</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1848</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信访维稳</w:t>
      </w:r>
      <w:r>
        <w:rPr>
          <w:rFonts w:hint="eastAsia" w:asciiTheme="minorEastAsia" w:hAnsiTheme="minorEastAsia" w:eastAsiaTheme="minorEastAsia"/>
          <w:sz w:val="32"/>
          <w:szCs w:val="32"/>
        </w:rPr>
        <w:t>发生的接待支出。</w:t>
      </w:r>
    </w:p>
    <w:p>
      <w:pPr>
        <w:pStyle w:val="9"/>
        <w:rPr>
          <w:rFonts w:hAnsi="黑体"/>
          <w:b/>
          <w:sz w:val="32"/>
          <w:szCs w:val="32"/>
        </w:rPr>
      </w:pPr>
      <w:r>
        <w:rPr>
          <w:rFonts w:hint="eastAsia" w:hAnsi="黑体"/>
          <w:b/>
          <w:sz w:val="32"/>
          <w:szCs w:val="32"/>
        </w:rPr>
        <w:t>八、政府性基金预算收入支出决算情况</w:t>
      </w:r>
    </w:p>
    <w:p>
      <w:pPr>
        <w:pStyle w:val="9"/>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2020年度</w:t>
      </w:r>
      <w:r>
        <w:rPr>
          <w:rFonts w:hint="eastAsia" w:asciiTheme="minorEastAsia" w:hAnsiTheme="minorEastAsia" w:eastAsiaTheme="minorEastAsia"/>
          <w:sz w:val="32"/>
          <w:szCs w:val="32"/>
          <w:lang w:eastAsia="zh-CN"/>
        </w:rPr>
        <w:t>本单位无</w:t>
      </w:r>
      <w:r>
        <w:rPr>
          <w:rFonts w:hint="eastAsia" w:asciiTheme="minorEastAsia" w:hAnsiTheme="minorEastAsia" w:eastAsiaTheme="minorEastAsia"/>
          <w:sz w:val="32"/>
          <w:szCs w:val="32"/>
        </w:rPr>
        <w:t>政府性基金</w:t>
      </w:r>
      <w:r>
        <w:rPr>
          <w:rFonts w:hint="eastAsia" w:asciiTheme="minorEastAsia" w:hAnsiTheme="minorEastAsia" w:eastAsiaTheme="minorEastAsia"/>
          <w:sz w:val="32"/>
          <w:szCs w:val="32"/>
          <w:lang w:eastAsia="zh-CN"/>
        </w:rPr>
        <w:t>收支。</w:t>
      </w:r>
    </w:p>
    <w:p>
      <w:pPr>
        <w:pStyle w:val="9"/>
        <w:rPr>
          <w:rFonts w:hAnsi="黑体"/>
          <w:b/>
          <w:sz w:val="32"/>
          <w:szCs w:val="32"/>
        </w:rPr>
      </w:pPr>
      <w:r>
        <w:rPr>
          <w:rFonts w:hint="eastAsia" w:hAnsi="黑体"/>
          <w:b/>
          <w:sz w:val="32"/>
          <w:szCs w:val="32"/>
        </w:rPr>
        <w:t>九、关于机关运行经费支出说明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46.64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比上年决算数增加</w:t>
      </w:r>
      <w:r>
        <w:rPr>
          <w:rFonts w:hint="eastAsia" w:asciiTheme="minorEastAsia" w:hAnsiTheme="minorEastAsia" w:eastAsiaTheme="minorEastAsia"/>
          <w:sz w:val="32"/>
          <w:szCs w:val="32"/>
          <w:lang w:val="en-US" w:eastAsia="zh-CN"/>
        </w:rPr>
        <w:t>14.43</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44.78</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单位本年度人员增加，年初预算公用经费增加</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十、一般性支出情况</w:t>
      </w:r>
    </w:p>
    <w:p>
      <w:pPr>
        <w:pStyle w:val="9"/>
        <w:ind w:firstLine="640" w:firstLineChars="20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2020年本部门</w:t>
      </w:r>
      <w:r>
        <w:rPr>
          <w:rFonts w:hint="eastAsia" w:asciiTheme="minorEastAsia" w:hAnsiTheme="minorEastAsia" w:eastAsiaTheme="minorEastAsia"/>
          <w:sz w:val="32"/>
          <w:szCs w:val="32"/>
          <w:lang w:eastAsia="zh-CN"/>
        </w:rPr>
        <w:t>无开支</w:t>
      </w:r>
      <w:r>
        <w:rPr>
          <w:rFonts w:hint="eastAsia" w:asciiTheme="minorEastAsia" w:hAnsiTheme="minorEastAsia" w:eastAsiaTheme="minorEastAsia"/>
          <w:sz w:val="32"/>
          <w:szCs w:val="32"/>
        </w:rPr>
        <w:t>会议费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培训费</w:t>
      </w:r>
      <w:r>
        <w:rPr>
          <w:rFonts w:hint="eastAsia" w:asciiTheme="minorEastAsia" w:hAnsiTheme="minorEastAsia" w:eastAsiaTheme="minorEastAsia"/>
          <w:sz w:val="32"/>
          <w:szCs w:val="32"/>
          <w:lang w:eastAsia="zh-CN"/>
        </w:rPr>
        <w:t>等一般性支出。</w:t>
      </w:r>
    </w:p>
    <w:p>
      <w:pPr>
        <w:pStyle w:val="9"/>
        <w:rPr>
          <w:rFonts w:hAnsi="黑体"/>
          <w:b/>
          <w:sz w:val="32"/>
          <w:szCs w:val="32"/>
        </w:rPr>
      </w:pPr>
      <w:r>
        <w:rPr>
          <w:rFonts w:hint="eastAsia" w:hAnsi="黑体"/>
          <w:b/>
          <w:sz w:val="32"/>
          <w:szCs w:val="32"/>
        </w:rPr>
        <w:t>十一、关于政府采购支出说明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政府采购支出元。</w:t>
      </w:r>
    </w:p>
    <w:p>
      <w:pPr>
        <w:pStyle w:val="9"/>
        <w:rPr>
          <w:rFonts w:hAnsi="黑体"/>
          <w:b/>
          <w:sz w:val="32"/>
          <w:szCs w:val="32"/>
        </w:rPr>
      </w:pPr>
      <w:r>
        <w:rPr>
          <w:rFonts w:hint="eastAsia" w:hAnsi="黑体"/>
          <w:b/>
          <w:sz w:val="32"/>
          <w:szCs w:val="32"/>
        </w:rPr>
        <w:t>十二、关于国有资产占用情况说明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w:t>
      </w:r>
      <w:r>
        <w:rPr>
          <w:rFonts w:hint="eastAsia" w:asciiTheme="minorEastAsia" w:hAnsiTheme="minorEastAsia" w:eastAsiaTheme="minorEastAsia"/>
          <w:sz w:val="32"/>
          <w:szCs w:val="32"/>
          <w:lang w:eastAsia="zh-CN"/>
        </w:rPr>
        <w:t>无公务</w:t>
      </w:r>
      <w:r>
        <w:rPr>
          <w:rFonts w:hint="eastAsia" w:asciiTheme="minorEastAsia" w:hAnsiTheme="minorEastAsia" w:eastAsiaTheme="minorEastAsia"/>
          <w:sz w:val="32"/>
          <w:szCs w:val="32"/>
        </w:rPr>
        <w:t>车辆；</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价值50万元以上通用设备；</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价值100万元以上专用设备。</w:t>
      </w:r>
    </w:p>
    <w:p>
      <w:pPr>
        <w:pStyle w:val="9"/>
        <w:rPr>
          <w:rFonts w:hAnsi="黑体"/>
          <w:b/>
          <w:sz w:val="32"/>
          <w:szCs w:val="32"/>
        </w:rPr>
      </w:pPr>
      <w:r>
        <w:rPr>
          <w:rFonts w:hint="eastAsia" w:hAnsi="黑体"/>
          <w:b/>
          <w:sz w:val="32"/>
          <w:szCs w:val="32"/>
        </w:rPr>
        <w:t>十</w:t>
      </w:r>
      <w:r>
        <w:rPr>
          <w:rFonts w:hint="eastAsia" w:hAnsi="黑体"/>
          <w:b/>
          <w:sz w:val="32"/>
          <w:szCs w:val="32"/>
          <w:lang w:eastAsia="zh-CN"/>
        </w:rPr>
        <w:t>三</w:t>
      </w:r>
      <w:r>
        <w:rPr>
          <w:rFonts w:hint="eastAsia" w:hAnsi="黑体"/>
          <w:b/>
          <w:sz w:val="32"/>
          <w:szCs w:val="32"/>
        </w:rPr>
        <w:t>、关于</w:t>
      </w:r>
      <w:r>
        <w:rPr>
          <w:rFonts w:hint="eastAsia" w:hAnsi="黑体"/>
          <w:b/>
          <w:sz w:val="32"/>
          <w:szCs w:val="32"/>
          <w:lang w:val="en-US" w:eastAsia="zh-CN"/>
        </w:rPr>
        <w:t>2020年度预算绩效</w:t>
      </w:r>
      <w:r>
        <w:rPr>
          <w:rFonts w:hint="eastAsia" w:hAnsi="黑体"/>
          <w:b/>
          <w:sz w:val="32"/>
          <w:szCs w:val="32"/>
        </w:rPr>
        <w:t>情况说明</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color w:val="000000"/>
          <w:kern w:val="0"/>
          <w:sz w:val="32"/>
          <w:szCs w:val="32"/>
        </w:rPr>
        <w:t>20</w:t>
      </w:r>
      <w:r>
        <w:rPr>
          <w:rFonts w:hint="eastAsia" w:asciiTheme="minorEastAsia" w:hAnsiTheme="minorEastAsia" w:eastAsiaTheme="minorEastAsia" w:cstheme="minorEastAsia"/>
          <w:color w:val="000000"/>
          <w:kern w:val="0"/>
          <w:sz w:val="32"/>
          <w:szCs w:val="32"/>
          <w:lang w:val="en-US" w:eastAsia="zh-CN"/>
        </w:rPr>
        <w:t>20</w:t>
      </w:r>
      <w:r>
        <w:rPr>
          <w:rFonts w:hint="eastAsia" w:asciiTheme="minorEastAsia" w:hAnsiTheme="minorEastAsia" w:eastAsiaTheme="minorEastAsia" w:cstheme="minorEastAsia"/>
          <w:color w:val="000000"/>
          <w:kern w:val="0"/>
          <w:sz w:val="32"/>
          <w:szCs w:val="32"/>
        </w:rPr>
        <w:t>年度，本部门整体支出和项目支出实行绩效目标管理，纳入20</w:t>
      </w:r>
      <w:r>
        <w:rPr>
          <w:rFonts w:hint="eastAsia" w:asciiTheme="minorEastAsia" w:hAnsiTheme="minorEastAsia" w:eastAsiaTheme="minorEastAsia" w:cstheme="minorEastAsia"/>
          <w:color w:val="000000"/>
          <w:kern w:val="0"/>
          <w:sz w:val="32"/>
          <w:szCs w:val="32"/>
          <w:lang w:val="en-US" w:eastAsia="zh-CN"/>
        </w:rPr>
        <w:t>20</w:t>
      </w:r>
      <w:r>
        <w:rPr>
          <w:rFonts w:hint="eastAsia" w:asciiTheme="minorEastAsia" w:hAnsiTheme="minorEastAsia" w:eastAsiaTheme="minorEastAsia" w:cstheme="minorEastAsia"/>
          <w:color w:val="000000"/>
          <w:kern w:val="0"/>
          <w:sz w:val="32"/>
          <w:szCs w:val="32"/>
        </w:rPr>
        <w:t>年部门整体支出绩效目标的金额</w:t>
      </w:r>
      <w:r>
        <w:rPr>
          <w:rFonts w:hint="eastAsia" w:asciiTheme="minorEastAsia" w:hAnsiTheme="minorEastAsia" w:eastAsiaTheme="minorEastAsia" w:cstheme="minorEastAsia"/>
          <w:color w:val="000000"/>
          <w:kern w:val="0"/>
          <w:sz w:val="32"/>
          <w:szCs w:val="32"/>
          <w:lang w:val="en-US" w:eastAsia="zh-CN"/>
        </w:rPr>
        <w:t>209.78</w:t>
      </w:r>
      <w:r>
        <w:rPr>
          <w:rFonts w:hint="eastAsia" w:asciiTheme="minorEastAsia" w:hAnsiTheme="minorEastAsia" w:eastAsiaTheme="minorEastAsia" w:cstheme="minorEastAsia"/>
          <w:color w:val="000000"/>
          <w:kern w:val="0"/>
          <w:sz w:val="32"/>
          <w:szCs w:val="32"/>
        </w:rPr>
        <w:t>万元</w:t>
      </w:r>
      <w:r>
        <w:rPr>
          <w:rFonts w:hint="eastAsia" w:asciiTheme="minorEastAsia" w:hAnsiTheme="minorEastAsia" w:eastAsiaTheme="minorEastAsia" w:cstheme="minorEastAsia"/>
          <w:color w:val="auto"/>
          <w:kern w:val="0"/>
          <w:sz w:val="32"/>
          <w:szCs w:val="32"/>
        </w:rPr>
        <w:t>，其中，基本支出</w:t>
      </w:r>
      <w:r>
        <w:rPr>
          <w:rFonts w:hint="eastAsia" w:asciiTheme="minorEastAsia" w:hAnsiTheme="minorEastAsia" w:eastAsiaTheme="minorEastAsia" w:cstheme="minorEastAsia"/>
          <w:color w:val="auto"/>
          <w:kern w:val="0"/>
          <w:sz w:val="32"/>
          <w:szCs w:val="32"/>
          <w:lang w:val="en-US" w:eastAsia="zh-CN"/>
        </w:rPr>
        <w:t>116.78</w:t>
      </w:r>
      <w:r>
        <w:rPr>
          <w:rFonts w:hint="eastAsia" w:asciiTheme="minorEastAsia" w:hAnsiTheme="minorEastAsia" w:eastAsiaTheme="minorEastAsia" w:cstheme="minorEastAsia"/>
          <w:color w:val="auto"/>
          <w:kern w:val="0"/>
          <w:sz w:val="32"/>
          <w:szCs w:val="32"/>
        </w:rPr>
        <w:t>万元</w:t>
      </w:r>
      <w:r>
        <w:rPr>
          <w:rFonts w:hint="eastAsia" w:asciiTheme="minorEastAsia" w:hAnsiTheme="minorEastAsia" w:eastAsiaTheme="minorEastAsia" w:cstheme="minorEastAsia"/>
          <w:color w:val="auto"/>
          <w:kern w:val="0"/>
          <w:sz w:val="32"/>
          <w:szCs w:val="32"/>
          <w:lang w:eastAsia="zh-CN"/>
        </w:rPr>
        <w:t>，项目支出</w:t>
      </w:r>
      <w:r>
        <w:rPr>
          <w:rFonts w:hint="eastAsia" w:asciiTheme="minorEastAsia" w:hAnsiTheme="minorEastAsia" w:eastAsiaTheme="minorEastAsia" w:cstheme="minorEastAsia"/>
          <w:color w:val="auto"/>
          <w:kern w:val="0"/>
          <w:sz w:val="32"/>
          <w:szCs w:val="32"/>
          <w:lang w:val="en-US" w:eastAsia="zh-CN"/>
        </w:rPr>
        <w:t>93万元</w:t>
      </w:r>
      <w:r>
        <w:rPr>
          <w:rFonts w:hint="eastAsia" w:asciiTheme="minorEastAsia" w:hAnsiTheme="minorEastAsia" w:eastAsiaTheme="minorEastAsia" w:cstheme="minorEastAsia"/>
          <w:color w:val="auto"/>
          <w:kern w:val="0"/>
          <w:sz w:val="32"/>
          <w:szCs w:val="32"/>
          <w:lang w:eastAsia="zh-CN"/>
        </w:rPr>
        <w:t>。</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sz w:val="72"/>
          <w:szCs w:val="72"/>
        </w:rPr>
      </w:pPr>
      <w:bookmarkStart w:id="3" w:name="_GoBack"/>
      <w:bookmarkEnd w:id="3"/>
    </w:p>
    <w:p>
      <w:pPr>
        <w:pStyle w:val="9"/>
        <w:jc w:val="both"/>
        <w:rPr>
          <w:rFonts w:hint="eastAsia"/>
          <w:sz w:val="72"/>
          <w:szCs w:val="72"/>
        </w:rPr>
      </w:pPr>
    </w:p>
    <w:p>
      <w:pPr>
        <w:pStyle w:val="9"/>
        <w:jc w:val="center"/>
        <w:rPr>
          <w:rFonts w:hint="eastAsia"/>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3"/>
        <w:jc w:val="left"/>
        <w:rPr>
          <w:rFonts w:hint="eastAsia" w:asciiTheme="minorEastAsia" w:hAnsiTheme="minorEastAsia" w:eastAsiaTheme="minorEastAsia" w:cstheme="minorEastAsia"/>
          <w:b/>
          <w:sz w:val="32"/>
        </w:rPr>
      </w:pP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一、财政拨款收入：</w:t>
      </w:r>
      <w:r>
        <w:rPr>
          <w:rFonts w:hint="eastAsia" w:asciiTheme="minorEastAsia" w:hAnsiTheme="minorEastAsia" w:eastAsiaTheme="minorEastAsia" w:cstheme="minorEastAsia"/>
          <w:sz w:val="32"/>
        </w:rPr>
        <w:t xml:space="preserve">指中央财政当年拨付的资金。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二、事业收入：</w:t>
      </w:r>
      <w:r>
        <w:rPr>
          <w:rFonts w:hint="eastAsia" w:asciiTheme="minorEastAsia" w:hAnsiTheme="minorEastAsia" w:eastAsiaTheme="minorEastAsia" w:cstheme="minorEastAsia"/>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三、经营收入：</w:t>
      </w:r>
      <w:r>
        <w:rPr>
          <w:rFonts w:hint="eastAsia" w:asciiTheme="minorEastAsia" w:hAnsiTheme="minorEastAsia" w:eastAsiaTheme="minorEastAsia" w:cstheme="minorEastAsia"/>
          <w:sz w:val="32"/>
        </w:rPr>
        <w:t xml:space="preserve">指事业单位在专业业务活动及其辅助活动之外开展非独立核算经营活动取得的收入。如：中国财政杂志社广告收入等。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四、其他收入：</w:t>
      </w:r>
      <w:r>
        <w:rPr>
          <w:rFonts w:hint="eastAsia" w:asciiTheme="minorEastAsia" w:hAnsiTheme="minorEastAsia" w:eastAsiaTheme="minorEastAsia" w:cstheme="minorEastAsia"/>
          <w:sz w:val="32"/>
        </w:rPr>
        <w:t xml:space="preserve">指除上述“财政拨款收入” 、 “事业收入” 、“经营收入”等以外的收入。主要是按规定动用的售房收入、存款利息收入等。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五、用事业基金弥补收支差额：</w:t>
      </w:r>
      <w:r>
        <w:rPr>
          <w:rFonts w:hint="eastAsia" w:asciiTheme="minorEastAsia" w:hAnsiTheme="minorEastAsia" w:eastAsiaTheme="minorEastAsia" w:cstheme="minorEastAsia"/>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六、年初结转和结余：</w:t>
      </w:r>
      <w:r>
        <w:rPr>
          <w:rFonts w:hint="eastAsia" w:asciiTheme="minorEastAsia" w:hAnsiTheme="minorEastAsia" w:eastAsiaTheme="minorEastAsia" w:cstheme="minorEastAsia"/>
          <w:sz w:val="32"/>
        </w:rPr>
        <w:t xml:space="preserve">指以前年度尚未完成、结转到本年按有关规定继续使用的资金。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七、结余分配：</w:t>
      </w:r>
      <w:r>
        <w:rPr>
          <w:rFonts w:hint="eastAsia" w:asciiTheme="minorEastAsia" w:hAnsiTheme="minorEastAsia" w:eastAsiaTheme="minorEastAsia" w:cstheme="minorEastAsia"/>
          <w:sz w:val="32"/>
        </w:rPr>
        <w:t>指事业单位按规定提取的职工福利基金、事业基金和缴纳的所得税，以及建设单位按规定应交回的基本建设竣工项目结余资金。</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八、年末结转和结余：</w:t>
      </w:r>
      <w:r>
        <w:rPr>
          <w:rFonts w:hint="eastAsia" w:asciiTheme="minorEastAsia" w:hAnsiTheme="minorEastAsia" w:eastAsiaTheme="minorEastAsia" w:cstheme="minorEastAsia"/>
          <w:sz w:val="32"/>
        </w:rPr>
        <w:t xml:space="preserve">指本年度或以前年度预算安排、因客观条件发生变化无法按原计划实施，需要延迟到以后年度按有关规定继续使用的资金。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九、基本支出：</w:t>
      </w:r>
      <w:r>
        <w:rPr>
          <w:rFonts w:hint="eastAsia" w:asciiTheme="minorEastAsia" w:hAnsiTheme="minorEastAsia" w:eastAsiaTheme="minorEastAsia" w:cstheme="minorEastAsia"/>
          <w:sz w:val="32"/>
        </w:rPr>
        <w:t>指为保障机构正常运转、完成日常工</w:t>
      </w:r>
    </w:p>
    <w:p>
      <w:pPr>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sz w:val="32"/>
        </w:rPr>
        <w:t xml:space="preserve">作任务而发生的人员支出和公用支出。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十、项目支出：</w:t>
      </w:r>
      <w:r>
        <w:rPr>
          <w:rFonts w:hint="eastAsia" w:asciiTheme="minorEastAsia" w:hAnsiTheme="minorEastAsia" w:eastAsiaTheme="minorEastAsia" w:cstheme="minorEastAsia"/>
          <w:sz w:val="32"/>
        </w:rPr>
        <w:t xml:space="preserve">指在基本支出之外为完成特定行政任务和事业发展目标所发生的支出。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十一、经营支出：</w:t>
      </w:r>
      <w:r>
        <w:rPr>
          <w:rFonts w:hint="eastAsia" w:asciiTheme="minorEastAsia" w:hAnsiTheme="minorEastAsia" w:eastAsiaTheme="minorEastAsia" w:cstheme="minorEastAsia"/>
          <w:sz w:val="32"/>
        </w:rPr>
        <w:t xml:space="preserve">指事业单位在专业业务活动及其辅助活动之外开展非独立核算经营活动发生的支出。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十二、“三公”经费：</w:t>
      </w:r>
      <w:r>
        <w:rPr>
          <w:rFonts w:hint="eastAsia" w:asciiTheme="minorEastAsia" w:hAnsiTheme="minorEastAsia" w:eastAsiaTheme="minorEastAsia" w:cstheme="minorEastAsia"/>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sz w:val="32"/>
        </w:rPr>
        <w:t>十三、机关运行经费：</w:t>
      </w:r>
      <w:r>
        <w:rPr>
          <w:rFonts w:hint="eastAsia" w:asciiTheme="minorEastAsia" w:hAnsiTheme="minorEastAsia" w:eastAsiaTheme="minorEastAsia" w:cstheme="minorEastAsia"/>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955"/>
    <w:rsid w:val="003C4FC2"/>
    <w:rsid w:val="00416E61"/>
    <w:rsid w:val="0042790C"/>
    <w:rsid w:val="004506F9"/>
    <w:rsid w:val="004717A2"/>
    <w:rsid w:val="00473DF3"/>
    <w:rsid w:val="0048314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36E88"/>
    <w:rsid w:val="00A42218"/>
    <w:rsid w:val="00A70249"/>
    <w:rsid w:val="00A70B02"/>
    <w:rsid w:val="00A71D9F"/>
    <w:rsid w:val="00A92E9F"/>
    <w:rsid w:val="00B33BEA"/>
    <w:rsid w:val="00B57C9F"/>
    <w:rsid w:val="00B63572"/>
    <w:rsid w:val="00B845B3"/>
    <w:rsid w:val="00B85D8B"/>
    <w:rsid w:val="00BB4A40"/>
    <w:rsid w:val="00BD6C3E"/>
    <w:rsid w:val="00BE3674"/>
    <w:rsid w:val="00BE6BF2"/>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2244091"/>
    <w:rsid w:val="06327F09"/>
    <w:rsid w:val="07B9652F"/>
    <w:rsid w:val="08832B3E"/>
    <w:rsid w:val="0B383C8E"/>
    <w:rsid w:val="105C4633"/>
    <w:rsid w:val="1B012302"/>
    <w:rsid w:val="1DDB190F"/>
    <w:rsid w:val="20766D5A"/>
    <w:rsid w:val="22E43628"/>
    <w:rsid w:val="2DB24309"/>
    <w:rsid w:val="35067C8D"/>
    <w:rsid w:val="3A564669"/>
    <w:rsid w:val="4A752CC0"/>
    <w:rsid w:val="516F4969"/>
    <w:rsid w:val="593001D6"/>
    <w:rsid w:val="5A1A2B4D"/>
    <w:rsid w:val="5B1A473F"/>
    <w:rsid w:val="5B7B51DE"/>
    <w:rsid w:val="61D34DF3"/>
    <w:rsid w:val="65FC3999"/>
    <w:rsid w:val="6731275E"/>
    <w:rsid w:val="68565ECB"/>
    <w:rsid w:val="6D7A03A9"/>
    <w:rsid w:val="717604C9"/>
    <w:rsid w:val="7B5B1B1D"/>
    <w:rsid w:val="7DB62AC3"/>
    <w:rsid w:val="7F334A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1212</Words>
  <Characters>6911</Characters>
  <Lines>57</Lines>
  <Paragraphs>16</Paragraphs>
  <TotalTime>9</TotalTime>
  <ScaleCrop>false</ScaleCrop>
  <LinksUpToDate>false</LinksUpToDate>
  <CharactersWithSpaces>8107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  Triste °</cp:lastModifiedBy>
  <cp:lastPrinted>2021-07-28T00:12:00Z</cp:lastPrinted>
  <dcterms:modified xsi:type="dcterms:W3CDTF">2021-11-25T04:48:14Z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9AE1B8B5D8E841D99F5B7D8D43B83B47</vt:lpwstr>
  </property>
</Properties>
</file>