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/>
          <w:sz w:val="44"/>
          <w:szCs w:val="44"/>
        </w:rPr>
      </w:pPr>
      <w:bookmarkStart w:id="0" w:name="_GoBack"/>
      <w:bookmarkEnd w:id="0"/>
      <w:r>
        <w:rPr>
          <w:rFonts w:ascii="方正小标宋简体" w:hAnsi="方正小标宋简体"/>
          <w:b/>
          <w:sz w:val="40"/>
          <w:szCs w:val="40"/>
        </w:rPr>
        <w:t>沅江市法律援助中心</w:t>
      </w:r>
      <w:r>
        <w:rPr>
          <w:rFonts w:hint="eastAsia" w:ascii="黑体" w:hAnsi="黑体" w:eastAsia="黑体"/>
          <w:color w:val="000000"/>
          <w:sz w:val="44"/>
          <w:szCs w:val="44"/>
        </w:rPr>
        <w:t>2021年度部门决算报表填报说明</w:t>
      </w:r>
    </w:p>
    <w:p>
      <w:pPr>
        <w:keepNext/>
        <w:keepLines/>
        <w:ind w:firstLine="640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ind w:firstLine="640"/>
        <w:rPr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一、决算信息来源说明</w:t>
      </w:r>
    </w:p>
    <w:p>
      <w:pPr>
        <w:ind w:firstLine="640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本套决算依据本单位登记完整、核对无误的账簿记录和其他有关会计核算资料编制，账证相符、账实相符、账表相符、表表相符，真实、准确、完整地反映了本单位预算执行结果和财务状况。</w:t>
      </w:r>
    </w:p>
    <w:p>
      <w:pPr>
        <w:ind w:firstLine="640"/>
        <w:rPr>
          <w:color w:val="000000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（一）本套决算主表数据主要依据本单位会计账簿总账及明细账数据填列，预算数据依据本单位预、决算批复文件及预算调整文件填列。</w:t>
      </w:r>
    </w:p>
    <w:p>
      <w:pPr>
        <w:ind w:firstLine="640"/>
        <w:rPr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（二）本套决算附表数据主要依据本单位资产、人事台账及相关统计资料填列，其中：</w:t>
      </w:r>
      <w:r>
        <w:rPr>
          <w:rFonts w:ascii="DengXian Western" w:hAnsi="DengXian Western"/>
          <w:sz w:val="32"/>
          <w:szCs w:val="32"/>
        </w:rPr>
        <w:t>“</w:t>
      </w:r>
      <w:r>
        <w:rPr>
          <w:rFonts w:ascii="仿宋_GB2312" w:hAnsi="仿宋_GB2312"/>
          <w:sz w:val="32"/>
          <w:szCs w:val="32"/>
        </w:rPr>
        <w:t>资产情况表</w:t>
      </w:r>
      <w:r>
        <w:rPr>
          <w:rFonts w:ascii="DengXian Western" w:hAnsi="DengXian Western"/>
          <w:sz w:val="32"/>
          <w:szCs w:val="32"/>
        </w:rPr>
        <w:t>”“</w:t>
      </w:r>
      <w:r>
        <w:rPr>
          <w:rFonts w:ascii="仿宋_GB2312" w:hAnsi="仿宋_GB2312"/>
          <w:sz w:val="32"/>
          <w:szCs w:val="32"/>
        </w:rPr>
        <w:t>国有资产收益征缴情况表</w:t>
      </w:r>
      <w:r>
        <w:rPr>
          <w:rFonts w:ascii="DengXian Western" w:hAnsi="DengXian Western"/>
          <w:sz w:val="32"/>
          <w:szCs w:val="32"/>
        </w:rPr>
        <w:t>”</w:t>
      </w:r>
      <w:r>
        <w:rPr>
          <w:rFonts w:ascii="仿宋_GB2312" w:hAnsi="仿宋_GB2312"/>
          <w:sz w:val="32"/>
          <w:szCs w:val="32"/>
        </w:rPr>
        <w:t>依据本单位资产相关会计账簿数据、固定资产管理系统相关数据及有关统计资料填列；</w:t>
      </w:r>
      <w:r>
        <w:rPr>
          <w:rFonts w:ascii="DengXian Western" w:hAnsi="DengXian Western"/>
          <w:sz w:val="32"/>
          <w:szCs w:val="32"/>
        </w:rPr>
        <w:t>“</w:t>
      </w:r>
      <w:r>
        <w:rPr>
          <w:rFonts w:ascii="仿宋_GB2312" w:hAnsi="仿宋_GB2312"/>
          <w:sz w:val="32"/>
          <w:szCs w:val="32"/>
        </w:rPr>
        <w:t>基本数据表</w:t>
      </w:r>
      <w:r>
        <w:rPr>
          <w:rFonts w:ascii="DengXian Western" w:hAnsi="DengXian Western"/>
          <w:sz w:val="32"/>
          <w:szCs w:val="32"/>
        </w:rPr>
        <w:t>”“</w:t>
      </w:r>
      <w:r>
        <w:rPr>
          <w:rFonts w:ascii="仿宋_GB2312" w:hAnsi="仿宋_GB2312"/>
          <w:sz w:val="32"/>
          <w:szCs w:val="32"/>
        </w:rPr>
        <w:t>机构人员情况表</w:t>
      </w:r>
      <w:r>
        <w:rPr>
          <w:rFonts w:ascii="DengXian Western" w:hAnsi="DengXian Western"/>
          <w:sz w:val="32"/>
          <w:szCs w:val="32"/>
        </w:rPr>
        <w:t>”</w:t>
      </w:r>
      <w:r>
        <w:rPr>
          <w:rFonts w:ascii="仿宋_GB2312" w:hAnsi="仿宋_GB2312"/>
          <w:sz w:val="32"/>
          <w:szCs w:val="32"/>
        </w:rPr>
        <w:t>依据本单位人事台账相关资料填列；</w:t>
      </w:r>
      <w:r>
        <w:rPr>
          <w:rFonts w:ascii="DengXian Western" w:hAnsi="DengXian Western"/>
          <w:sz w:val="32"/>
          <w:szCs w:val="32"/>
        </w:rPr>
        <w:t>“</w:t>
      </w:r>
      <w:r>
        <w:rPr>
          <w:rFonts w:ascii="仿宋_GB2312" w:hAnsi="仿宋_GB2312"/>
          <w:sz w:val="32"/>
          <w:szCs w:val="32"/>
        </w:rPr>
        <w:t>非税收入征缴情况表</w:t>
      </w:r>
      <w:r>
        <w:rPr>
          <w:rFonts w:ascii="DengXian Western" w:hAnsi="DengXian Western"/>
          <w:sz w:val="32"/>
          <w:szCs w:val="32"/>
        </w:rPr>
        <w:t>”</w:t>
      </w:r>
      <w:r>
        <w:rPr>
          <w:rFonts w:ascii="仿宋_GB2312" w:hAnsi="仿宋_GB2312"/>
          <w:sz w:val="32"/>
          <w:szCs w:val="32"/>
        </w:rPr>
        <w:t>依据本单位非税收入台账及相关统计资料填列。</w:t>
      </w:r>
    </w:p>
    <w:p>
      <w:pPr>
        <w:ind w:firstLine="640"/>
        <w:rPr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二、决算</w:t>
      </w:r>
      <w:r>
        <w:rPr>
          <w:rFonts w:hint="eastAsia" w:ascii="黑体" w:hAnsi="黑体" w:eastAsia="黑体"/>
          <w:sz w:val="32"/>
          <w:szCs w:val="32"/>
        </w:rPr>
        <w:t>编制</w:t>
      </w:r>
      <w:r>
        <w:rPr>
          <w:rFonts w:hint="eastAsia" w:ascii="黑体" w:hAnsi="黑体" w:eastAsia="黑体"/>
          <w:color w:val="000000"/>
          <w:sz w:val="32"/>
          <w:szCs w:val="32"/>
        </w:rPr>
        <w:t>基本情况</w:t>
      </w:r>
    </w:p>
    <w:p>
      <w:pPr>
        <w:ind w:firstLine="567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本单位为</w:t>
      </w:r>
      <w:r>
        <w:rPr>
          <w:rFonts w:ascii="仿宋_GB2312" w:hAnsi="仿宋_GB2312"/>
          <w:color w:val="000000"/>
          <w:sz w:val="32"/>
          <w:szCs w:val="32"/>
          <w:u w:val="single"/>
        </w:rPr>
        <w:t>一级预算单位</w:t>
      </w:r>
      <w:r>
        <w:rPr>
          <w:rFonts w:ascii="仿宋_GB2312" w:hAnsi="仿宋_GB2312"/>
          <w:color w:val="000000"/>
          <w:sz w:val="32"/>
          <w:szCs w:val="32"/>
        </w:rPr>
        <w:t>，</w:t>
      </w:r>
      <w:r>
        <w:rPr>
          <w:rFonts w:ascii="仿宋_GB2312" w:hAnsi="仿宋_GB2312"/>
          <w:color w:val="000000"/>
          <w:spacing w:val="14"/>
          <w:sz w:val="32"/>
          <w:szCs w:val="32"/>
        </w:rPr>
        <w:t>单位性质</w:t>
      </w:r>
      <w:r>
        <w:rPr>
          <w:rFonts w:ascii="仿宋_GB2312" w:hAnsi="仿宋_GB2312"/>
          <w:color w:val="000000"/>
          <w:sz w:val="32"/>
          <w:szCs w:val="32"/>
        </w:rPr>
        <w:t>为</w:t>
      </w:r>
      <w:r>
        <w:rPr>
          <w:rFonts w:ascii="仿宋_GB2312" w:hAnsi="仿宋_GB2312"/>
          <w:color w:val="000000"/>
          <w:sz w:val="32"/>
          <w:szCs w:val="32"/>
          <w:u w:val="single"/>
        </w:rPr>
        <w:t>参照公务员法管理事业单位</w:t>
      </w:r>
      <w:r>
        <w:rPr>
          <w:rFonts w:ascii="仿宋_GB2312" w:hAnsi="仿宋_GB2312"/>
          <w:color w:val="000000"/>
          <w:sz w:val="32"/>
          <w:szCs w:val="32"/>
        </w:rPr>
        <w:t>，决算编报类型为</w:t>
      </w:r>
      <w:r>
        <w:rPr>
          <w:rFonts w:ascii="仿宋_GB2312" w:hAnsi="仿宋_GB2312"/>
          <w:color w:val="000000"/>
          <w:sz w:val="32"/>
          <w:szCs w:val="32"/>
          <w:u w:val="single"/>
        </w:rPr>
        <w:t>单户表</w:t>
      </w:r>
      <w:r>
        <w:rPr>
          <w:rFonts w:ascii="仿宋_GB2312" w:hAnsi="仿宋_GB2312"/>
          <w:color w:val="000000"/>
          <w:sz w:val="32"/>
          <w:szCs w:val="32"/>
        </w:rPr>
        <w:t>，按照</w:t>
      </w:r>
      <w:r>
        <w:rPr>
          <w:rFonts w:ascii="仿宋_GB2312" w:hAnsi="仿宋_GB2312"/>
          <w:color w:val="000000"/>
          <w:sz w:val="32"/>
          <w:szCs w:val="32"/>
          <w:u w:val="single"/>
        </w:rPr>
        <w:t>政府会计准则制度</w:t>
      </w:r>
      <w:r>
        <w:rPr>
          <w:rFonts w:ascii="仿宋_GB2312" w:hAnsi="仿宋_GB2312"/>
          <w:color w:val="000000"/>
          <w:sz w:val="32"/>
          <w:szCs w:val="32"/>
        </w:rPr>
        <w:t>报决算数据。</w:t>
      </w:r>
    </w:p>
    <w:p>
      <w:pPr>
        <w:ind w:firstLine="567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 w:cs="仿宋"/>
          <w:sz w:val="32"/>
          <w:szCs w:val="32"/>
        </w:rPr>
        <w:t>纳入本套决算编制范围的独立核算单位共</w:t>
      </w:r>
      <w:r>
        <w:rPr>
          <w:rFonts w:ascii="仿宋_GB2312" w:hAnsi="仿宋_GB2312" w:cs="仿宋"/>
          <w:sz w:val="32"/>
          <w:szCs w:val="32"/>
          <w:u w:val="single"/>
        </w:rPr>
        <w:t>1</w:t>
      </w:r>
      <w:r>
        <w:rPr>
          <w:rFonts w:ascii="仿宋_GB2312" w:hAnsi="仿宋_GB2312" w:cs="仿宋"/>
          <w:sz w:val="32"/>
          <w:szCs w:val="32"/>
        </w:rPr>
        <w:t>个，比上年增减</w:t>
      </w:r>
      <w:r>
        <w:rPr>
          <w:rFonts w:ascii="仿宋_GB2312" w:hAnsi="仿宋_GB2312"/>
          <w:color w:val="000000"/>
          <w:sz w:val="32"/>
          <w:szCs w:val="32"/>
          <w:u w:val="single"/>
        </w:rPr>
        <w:t>0</w:t>
      </w:r>
      <w:r>
        <w:rPr>
          <w:rFonts w:ascii="仿宋_GB2312" w:hAnsi="仿宋_GB2312" w:cs="仿宋"/>
          <w:sz w:val="32"/>
          <w:szCs w:val="32"/>
        </w:rPr>
        <w:t>个。</w:t>
      </w:r>
    </w:p>
    <w:p>
      <w:pPr>
        <w:ind w:firstLine="707"/>
        <w:rPr>
          <w:rFonts w:ascii="Times New Roman" w:hAnsi="Times New Roman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三、基础数据核对情况</w:t>
      </w:r>
    </w:p>
    <w:p>
      <w:pPr>
        <w:ind w:firstLine="709"/>
        <w:rPr>
          <w:b/>
          <w:color w:val="000000"/>
          <w:sz w:val="32"/>
          <w:szCs w:val="32"/>
        </w:rPr>
      </w:pPr>
      <w:r>
        <w:rPr>
          <w:rFonts w:ascii="楷体_GB2312" w:hAnsi="楷体_GB2312"/>
          <w:b/>
          <w:color w:val="000000"/>
          <w:sz w:val="32"/>
          <w:szCs w:val="32"/>
        </w:rPr>
        <w:t>（一）财政资金对账情况。</w:t>
      </w:r>
    </w:p>
    <w:p>
      <w:pPr>
        <w:ind w:firstLine="709"/>
        <w:rPr>
          <w:b/>
          <w:color w:val="000000"/>
          <w:sz w:val="32"/>
          <w:szCs w:val="32"/>
        </w:rPr>
      </w:pPr>
      <w:r>
        <w:rPr>
          <w:rFonts w:ascii="仿宋_GB2312" w:hAnsi="仿宋_GB2312"/>
          <w:b/>
          <w:color w:val="000000"/>
          <w:sz w:val="32"/>
          <w:szCs w:val="32"/>
        </w:rPr>
        <w:t>1．财政拨款核对情况。</w:t>
      </w:r>
    </w:p>
    <w:p>
      <w:pPr>
        <w:ind w:firstLine="709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（1）单位本年度实际收到的一般公共预算财政拨款收入1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63.89</w:t>
      </w:r>
      <w:r>
        <w:rPr>
          <w:rFonts w:ascii="仿宋_GB2312" w:hAnsi="仿宋_GB2312"/>
          <w:color w:val="000000"/>
          <w:sz w:val="32"/>
          <w:szCs w:val="32"/>
        </w:rPr>
        <w:t>万元，财政部门拨款对账单1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63.89</w:t>
      </w:r>
      <w:r>
        <w:rPr>
          <w:rFonts w:ascii="仿宋_GB2312" w:hAnsi="仿宋_GB2312"/>
          <w:color w:val="000000"/>
          <w:sz w:val="32"/>
          <w:szCs w:val="32"/>
        </w:rPr>
        <w:t>万元，没有差额。</w:t>
      </w:r>
    </w:p>
    <w:p>
      <w:pPr>
        <w:ind w:firstLine="709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（2）单位本年度没有政府性基金预算财政拨款收入。</w:t>
      </w:r>
    </w:p>
    <w:p>
      <w:pPr>
        <w:ind w:firstLine="709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仿宋_GB2312" w:hAnsi="仿宋_GB2312"/>
          <w:b/>
          <w:color w:val="000000"/>
          <w:sz w:val="32"/>
          <w:szCs w:val="32"/>
        </w:rPr>
        <w:t>2．其他需要说明的情况。</w:t>
      </w:r>
    </w:p>
    <w:p>
      <w:pPr>
        <w:ind w:firstLine="709"/>
        <w:rPr>
          <w:b/>
          <w:color w:val="000000"/>
          <w:sz w:val="32"/>
          <w:szCs w:val="32"/>
        </w:rPr>
      </w:pPr>
      <w:r>
        <w:rPr>
          <w:rFonts w:ascii="楷体_GB2312" w:hAnsi="楷体_GB2312"/>
          <w:b/>
          <w:color w:val="000000"/>
          <w:sz w:val="32"/>
          <w:szCs w:val="32"/>
        </w:rPr>
        <w:t>（二）与上年指标核对情况。</w:t>
      </w:r>
    </w:p>
    <w:p>
      <w:pPr>
        <w:ind w:firstLine="709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1．全口径结转和结余资金本年年初数与上年年末数一致。</w:t>
      </w:r>
    </w:p>
    <w:p>
      <w:pPr>
        <w:ind w:firstLine="709"/>
        <w:rPr>
          <w:rFonts w:ascii="Times New Roman" w:hAnsi="Times New Roman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2.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资产负债简表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指标本年年初数与上年年末数一致。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3．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资产情况表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指标本年年初数与上年年末数不一致的情况说明。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4．主要指标上下年变动幅度未超过20%。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/>
          <w:color w:val="000000"/>
          <w:sz w:val="32"/>
          <w:szCs w:val="32"/>
        </w:rPr>
        <w:t>四、报表审核情况</w:t>
      </w:r>
    </w:p>
    <w:p>
      <w:pPr>
        <w:ind w:firstLine="709"/>
        <w:rPr>
          <w:b/>
          <w:color w:val="000000"/>
          <w:sz w:val="32"/>
          <w:szCs w:val="32"/>
        </w:rPr>
      </w:pPr>
      <w:r>
        <w:rPr>
          <w:rFonts w:ascii="楷体_GB2312" w:hAnsi="楷体_GB2312"/>
          <w:b/>
          <w:color w:val="000000"/>
          <w:sz w:val="32"/>
          <w:szCs w:val="32"/>
        </w:rPr>
        <w:t>（一）审核情况。</w:t>
      </w:r>
    </w:p>
    <w:p>
      <w:pPr>
        <w:ind w:firstLine="709"/>
        <w:rPr>
          <w:b/>
          <w:color w:val="000000"/>
          <w:sz w:val="32"/>
          <w:szCs w:val="32"/>
        </w:rPr>
      </w:pPr>
      <w:r>
        <w:rPr>
          <w:rFonts w:ascii="仿宋_GB2312" w:hAnsi="仿宋_GB2312"/>
          <w:b/>
          <w:color w:val="000000"/>
          <w:sz w:val="32"/>
          <w:szCs w:val="32"/>
        </w:rPr>
        <w:t>1．审核公式。</w:t>
      </w:r>
    </w:p>
    <w:p>
      <w:pPr>
        <w:ind w:firstLine="709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审核公式全表通过。</w:t>
      </w:r>
    </w:p>
    <w:p>
      <w:pPr>
        <w:ind w:firstLine="709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楷体_GB2312" w:hAnsi="楷体_GB2312"/>
          <w:b/>
          <w:color w:val="000000"/>
          <w:sz w:val="32"/>
          <w:szCs w:val="32"/>
        </w:rPr>
        <w:t>（二）对报表指标、审核公式和审核模板的设置建议。</w:t>
      </w:r>
    </w:p>
    <w:p>
      <w:pPr>
        <w:ind w:firstLine="709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无任何意见和建议。</w:t>
      </w:r>
    </w:p>
    <w:p>
      <w:pPr>
        <w:ind w:firstLine="709"/>
        <w:rPr>
          <w:rFonts w:ascii="Times New Roman" w:hAnsi="Times New Roman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五、决算数据其他需要说明的情况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1．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收入决算表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中</w:t>
      </w:r>
      <w:r>
        <w:rPr>
          <w:rFonts w:ascii="仿宋_GB2312" w:hAnsi="仿宋_GB2312"/>
          <w:color w:val="000000"/>
          <w:spacing w:val="6"/>
          <w:sz w:val="32"/>
          <w:szCs w:val="32"/>
        </w:rPr>
        <w:t>其他收入的具体构成情况：收司法局政府法律顾问费15万元，绩效考核奖金5.25万元，收政法委司法救助金4万元。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2.年末结转和结余未出现负数。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3．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项目支出决算明细表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中未列支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工资福利支出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和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对个人和家庭的补助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的情况。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4.</w:t>
      </w:r>
      <w:r>
        <w:rPr>
          <w:rFonts w:hint="eastAsia" w:ascii="宋体" w:hAnsi="宋体"/>
          <w:color w:val="000000"/>
          <w:sz w:val="32"/>
          <w:szCs w:val="32"/>
        </w:rPr>
        <w:t>无</w:t>
      </w:r>
      <w:r>
        <w:rPr>
          <w:rFonts w:ascii="仿宋_GB2312" w:hAnsi="仿宋_GB2312"/>
          <w:color w:val="000000"/>
          <w:sz w:val="32"/>
          <w:szCs w:val="32"/>
        </w:rPr>
        <w:t>财政专户管理资金收入支出。</w:t>
      </w:r>
    </w:p>
    <w:p>
      <w:pPr>
        <w:ind w:firstLine="709"/>
        <w:rPr>
          <w:color w:val="000000"/>
          <w:sz w:val="32"/>
          <w:szCs w:val="32"/>
          <w:highlight w:val="yellow"/>
        </w:rPr>
      </w:pPr>
      <w:r>
        <w:rPr>
          <w:rFonts w:ascii="仿宋_GB2312" w:hAnsi="仿宋_GB2312"/>
          <w:color w:val="000000"/>
          <w:sz w:val="32"/>
          <w:szCs w:val="32"/>
        </w:rPr>
        <w:t>5.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资产负债简表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 xml:space="preserve">中无行政事业单位 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应收账款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、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预付账款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、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其他应收款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、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应付账款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、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预收账款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 xml:space="preserve">、 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其他应付款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等往来账款情况。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6.</w:t>
      </w:r>
      <w:r>
        <w:rPr>
          <w:rFonts w:ascii="DengXian Western" w:hAnsi="DengXian Western"/>
          <w:color w:val="000000"/>
          <w:sz w:val="32"/>
          <w:szCs w:val="32"/>
        </w:rPr>
        <w:t>“</w:t>
      </w:r>
      <w:r>
        <w:rPr>
          <w:rFonts w:ascii="仿宋_GB2312" w:hAnsi="仿宋_GB2312"/>
          <w:color w:val="000000"/>
          <w:sz w:val="32"/>
          <w:szCs w:val="32"/>
        </w:rPr>
        <w:t>三公</w:t>
      </w:r>
      <w:r>
        <w:rPr>
          <w:rFonts w:ascii="DengXian Western" w:hAnsi="DengXian Western"/>
          <w:color w:val="000000"/>
          <w:sz w:val="32"/>
          <w:szCs w:val="32"/>
        </w:rPr>
        <w:t>”</w:t>
      </w:r>
      <w:r>
        <w:rPr>
          <w:rFonts w:ascii="仿宋_GB2312" w:hAnsi="仿宋_GB2312"/>
          <w:color w:val="000000"/>
          <w:sz w:val="32"/>
          <w:szCs w:val="32"/>
        </w:rPr>
        <w:t>经费总额为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3144</w:t>
      </w:r>
      <w:r>
        <w:rPr>
          <w:rFonts w:ascii="仿宋_GB2312" w:hAnsi="仿宋_GB2312"/>
          <w:color w:val="000000"/>
          <w:sz w:val="32"/>
          <w:szCs w:val="32"/>
        </w:rPr>
        <w:t>元相较与年初预算数、上年决算数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4169</w:t>
      </w:r>
      <w:r>
        <w:rPr>
          <w:rFonts w:ascii="仿宋_GB2312" w:hAnsi="仿宋_GB2312"/>
          <w:color w:val="000000"/>
          <w:sz w:val="32"/>
          <w:szCs w:val="32"/>
        </w:rPr>
        <w:t>元</w:t>
      </w:r>
      <w:r>
        <w:rPr>
          <w:rFonts w:hint="eastAsia" w:ascii="仿宋_GB2312" w:hAnsi="仿宋_GB2312"/>
          <w:color w:val="000000"/>
          <w:sz w:val="32"/>
          <w:szCs w:val="32"/>
          <w:lang w:eastAsia="zh-CN"/>
        </w:rPr>
        <w:t>减少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1025</w:t>
      </w:r>
      <w:r>
        <w:rPr>
          <w:rFonts w:ascii="仿宋_GB2312" w:hAnsi="仿宋_GB2312"/>
          <w:color w:val="000000"/>
          <w:sz w:val="32"/>
          <w:szCs w:val="32"/>
        </w:rPr>
        <w:t>元，主要原因是：</w:t>
      </w:r>
      <w:r>
        <w:rPr>
          <w:rFonts w:hint="eastAsia" w:ascii="仿宋_GB2312" w:hAnsi="仿宋_GB2312"/>
          <w:color w:val="000000"/>
          <w:sz w:val="32"/>
          <w:szCs w:val="32"/>
          <w:lang w:eastAsia="zh-CN"/>
        </w:rPr>
        <w:t>严格压缩经费。</w:t>
      </w:r>
      <w:r>
        <w:rPr>
          <w:rFonts w:hint="eastAsia" w:ascii="仿宋" w:hAnsi="仿宋" w:eastAsia="仿宋"/>
          <w:b/>
          <w:sz w:val="32"/>
          <w:szCs w:val="32"/>
        </w:rPr>
        <w:t>公务接待费</w:t>
      </w:r>
      <w:r>
        <w:rPr>
          <w:rFonts w:hint="eastAsia" w:ascii="仿宋" w:hAnsi="仿宋" w:eastAsia="仿宋"/>
          <w:sz w:val="32"/>
          <w:szCs w:val="32"/>
        </w:rPr>
        <w:t>完成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4169</w:t>
      </w:r>
      <w:r>
        <w:rPr>
          <w:rFonts w:ascii="仿宋_GB2312" w:hAnsi="仿宋_GB2312"/>
          <w:color w:val="000000"/>
          <w:sz w:val="32"/>
          <w:szCs w:val="32"/>
        </w:rPr>
        <w:t>元</w:t>
      </w:r>
      <w:r>
        <w:rPr>
          <w:rFonts w:hint="eastAsia" w:ascii="仿宋_GB2312" w:hAnsi="仿宋_GB2312"/>
          <w:color w:val="000000"/>
          <w:sz w:val="32"/>
          <w:szCs w:val="32"/>
          <w:lang w:eastAsia="zh-CN"/>
        </w:rPr>
        <w:t>减少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1025</w:t>
      </w:r>
      <w:r>
        <w:rPr>
          <w:rFonts w:ascii="仿宋_GB2312" w:hAnsi="仿宋_GB2312"/>
          <w:color w:val="000000"/>
          <w:sz w:val="32"/>
          <w:szCs w:val="32"/>
        </w:rPr>
        <w:t>元，主要原因是：</w:t>
      </w:r>
      <w:r>
        <w:rPr>
          <w:rFonts w:hint="eastAsia" w:ascii="仿宋_GB2312" w:hAnsi="仿宋_GB2312"/>
          <w:color w:val="000000"/>
          <w:sz w:val="32"/>
          <w:szCs w:val="32"/>
          <w:lang w:eastAsia="zh-CN"/>
        </w:rPr>
        <w:t>严格压缩经费。</w:t>
      </w:r>
      <w:r>
        <w:rPr>
          <w:rFonts w:ascii="仿宋_GB2312" w:hAnsi="仿宋_GB2312"/>
          <w:color w:val="000000"/>
          <w:sz w:val="32"/>
          <w:szCs w:val="32"/>
        </w:rPr>
        <w:t>7.行政单位、参照公务员法管理的事业单位机关运行经费支出情况，与上年数对比无较大变动。（附表5）。</w:t>
      </w:r>
    </w:p>
    <w:p>
      <w:pPr>
        <w:ind w:firstLine="709"/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8.政府采购支出情况，包括采购类型、采购规模和资金来源等（附表6），我单位严格按照政府采购程序来办理政府采购。</w:t>
      </w:r>
    </w:p>
    <w:p>
      <w:pPr>
        <w:ind w:firstLine="709"/>
        <w:rPr>
          <w:rFonts w:ascii="Times New Roman" w:hAnsi="Times New Roman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9.无中央单位财政拨款结转和结余情况（附表7）。</w:t>
      </w:r>
    </w:p>
    <w:p>
      <w:pPr>
        <w:ind w:firstLine="709"/>
        <w:rPr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10.无中央单位驻外机构有关情况（附表8、9）。</w:t>
      </w:r>
    </w:p>
    <w:p>
      <w:r>
        <w:t xml:space="preserve"> </w:t>
      </w:r>
    </w:p>
    <w:p>
      <w:pPr>
        <w:ind w:firstLine="709"/>
      </w:pPr>
      <w:r>
        <w:t xml:space="preserve"> </w:t>
      </w:r>
    </w:p>
    <w:p>
      <w:pPr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</w:t>
      </w:r>
    </w:p>
    <w:p>
      <w:r>
        <w:t xml:space="preserve"> </w:t>
      </w:r>
    </w:p>
    <w:p>
      <w:pPr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</w:t>
      </w:r>
    </w:p>
    <w:p>
      <w:r>
        <w:t xml:space="preserve"> </w:t>
      </w:r>
    </w:p>
    <w:p>
      <w:pPr>
        <w:jc w:val="left"/>
        <w:rPr>
          <w:sz w:val="44"/>
          <w:szCs w:val="44"/>
        </w:rPr>
      </w:pPr>
      <w:r>
        <w:rPr>
          <w:sz w:val="44"/>
          <w:szCs w:val="44"/>
        </w:rPr>
        <w:t xml:space="preserve"> </w:t>
      </w:r>
    </w:p>
    <w:p>
      <w:r>
        <w:t xml:space="preserve"> </w:t>
      </w:r>
    </w:p>
    <w:p>
      <w:pPr>
        <w:jc w:val="left"/>
        <w:rPr>
          <w:rFonts w:ascii="宋体" w:hAnsi="宋体"/>
          <w:kern w:val="0"/>
          <w:sz w:val="18"/>
          <w:szCs w:val="18"/>
        </w:rPr>
      </w:pPr>
      <w:r>
        <w:rPr>
          <w:rFonts w:hint="eastAsia" w:ascii="宋体" w:hAnsi="宋体"/>
          <w:kern w:val="0"/>
          <w:sz w:val="18"/>
          <w:szCs w:val="1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ngXian Wester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74"/>
    <w:rsid w:val="002D1A74"/>
    <w:rsid w:val="004942CC"/>
    <w:rsid w:val="51E52FEF"/>
    <w:rsid w:val="786E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208</Words>
  <Characters>1188</Characters>
  <Lines>9</Lines>
  <Paragraphs>2</Paragraphs>
  <TotalTime>0</TotalTime>
  <ScaleCrop>false</ScaleCrop>
  <LinksUpToDate>false</LinksUpToDate>
  <CharactersWithSpaces>1394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2022-02-22T02:08:00Z</dcterms:created>
  <dc:creator>admin</dc:creator>
  <cp:lastModifiedBy>admin</cp:lastModifiedBy>
  <dcterms:modified xsi:type="dcterms:W3CDTF">2022-02-23T01:43:37Z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A919C63B2F7643BCBEEDC75FA36ED081</vt:lpwstr>
  </property>
</Properties>
</file>