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84"/>
          <w:szCs w:val="84"/>
        </w:rPr>
      </w:pPr>
      <w:r>
        <w:rPr>
          <w:rFonts w:hint="eastAsia"/>
          <w:sz w:val="84"/>
          <w:szCs w:val="84"/>
          <w:lang w:val="en-US" w:eastAsia="zh-CN"/>
        </w:rPr>
        <w:t>沅江市看守所</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沅江市看守所</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val="en-US" w:eastAsia="zh-CN"/>
        </w:rPr>
        <w:t>沅江市看守所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napToGrid/>
        <w:spacing w:beforeLines="0" w:afterLines="0" w:line="420" w:lineRule="atLeast"/>
        <w:ind w:firstLine="600" w:firstLineChars="0"/>
        <w:jc w:val="left"/>
        <w:textAlignment w:val="center"/>
        <w:rPr>
          <w:rFonts w:hint="eastAsia" w:ascii="仿宋_GB2312" w:hAnsi="仿宋" w:eastAsia="仿宋_GB2312"/>
          <w:sz w:val="32"/>
          <w:szCs w:val="32"/>
        </w:rPr>
      </w:pPr>
      <w:r>
        <w:rPr>
          <w:rFonts w:hint="eastAsia" w:ascii="仿宋_GB2312" w:hAnsi="仿宋" w:eastAsia="仿宋_GB2312" w:cs="Times New Roman"/>
          <w:color w:val="auto"/>
          <w:kern w:val="2"/>
          <w:sz w:val="32"/>
          <w:szCs w:val="32"/>
          <w:lang w:val="en-US"/>
        </w:rPr>
        <w:t>沅江市看守所主要职能是贯彻执行有关监所管理工作的方针、政策和法律、法规、规章；负责关押被逮捕、刑事拘留和犯罪嫌疑人</w:t>
      </w:r>
      <w:r>
        <w:rPr>
          <w:rFonts w:hint="eastAsia" w:ascii="仿宋" w:hAnsi="仿宋" w:eastAsia="仿宋"/>
          <w:color w:val="auto"/>
          <w:kern w:val="0"/>
          <w:sz w:val="32"/>
          <w:lang w:val="en-US"/>
        </w:rPr>
        <w:t>，对在押人员进行教育管理。</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jc w:val="left"/>
        <w:rPr>
          <w:rFonts w:hint="default" w:ascii="宋体" w:hAnsi="宋体"/>
          <w:bCs/>
          <w:kern w:val="0"/>
          <w:sz w:val="32"/>
          <w:szCs w:val="32"/>
          <w:lang w:val="en-US"/>
        </w:rPr>
      </w:pPr>
      <w:r>
        <w:rPr>
          <w:rFonts w:hint="eastAsia" w:asciiTheme="minorEastAsia" w:hAnsiTheme="minorEastAsia"/>
          <w:bCs/>
          <w:kern w:val="0"/>
          <w:sz w:val="32"/>
          <w:szCs w:val="32"/>
        </w:rPr>
        <w:t>（一）内设机构设置。</w:t>
      </w:r>
      <w:r>
        <w:rPr>
          <w:rFonts w:hint="eastAsia" w:ascii="仿宋" w:hAnsi="仿宋" w:eastAsia="仿宋" w:cs="仿宋"/>
          <w:bCs w:val="0"/>
          <w:kern w:val="2"/>
          <w:sz w:val="32"/>
          <w:szCs w:val="24"/>
          <w:lang w:val="en-US" w:eastAsia="zh-CN"/>
        </w:rPr>
        <w:t>沅江市看守所内设看守所本级机构1个</w:t>
      </w:r>
      <w:r>
        <w:rPr>
          <w:rFonts w:hint="eastAsia" w:ascii="仿宋" w:hAnsi="仿宋" w:eastAsia="仿宋" w:cs="仿宋"/>
          <w:bCs w:val="0"/>
          <w:kern w:val="2"/>
          <w:sz w:val="32"/>
          <w:szCs w:val="24"/>
        </w:rPr>
        <w:t>。</w:t>
      </w:r>
      <w:r>
        <w:rPr>
          <w:rFonts w:hint="eastAsia" w:ascii="仿宋" w:hAnsi="仿宋" w:eastAsia="仿宋" w:cs="仿宋"/>
          <w:sz w:val="32"/>
          <w:lang w:val="en-US" w:eastAsia="zh-CN"/>
        </w:rPr>
        <w:t>当年无变动。</w:t>
      </w:r>
    </w:p>
    <w:p>
      <w:pPr>
        <w:widowControl/>
        <w:spacing w:line="600" w:lineRule="exact"/>
        <w:rPr>
          <w:rFonts w:ascii="仿宋_GB2312" w:eastAsia="仿宋_GB2312" w:hAnsiTheme="minorEastAsia"/>
          <w:sz w:val="28"/>
          <w:szCs w:val="32"/>
        </w:rPr>
      </w:pPr>
      <w:r>
        <w:rPr>
          <w:rFonts w:hint="eastAsia" w:asciiTheme="minorEastAsia" w:hAnsiTheme="minorEastAsia"/>
          <w:bCs/>
          <w:kern w:val="0"/>
          <w:sz w:val="32"/>
          <w:szCs w:val="32"/>
        </w:rPr>
        <w:t>（二）决算单位构成。</w:t>
      </w:r>
      <w:r>
        <w:rPr>
          <w:rFonts w:hint="eastAsia" w:ascii="仿宋" w:hAnsi="仿宋" w:eastAsia="仿宋" w:cs="仿宋"/>
          <w:sz w:val="32"/>
          <w:lang w:val="en-US" w:eastAsia="zh-CN"/>
        </w:rPr>
        <w:t>沅江市</w:t>
      </w:r>
      <w:r>
        <w:rPr>
          <w:rFonts w:ascii="仿宋" w:hAnsi="仿宋" w:eastAsia="仿宋" w:cs="仿宋"/>
          <w:sz w:val="32"/>
        </w:rPr>
        <w:t>部门决算包括：</w:t>
      </w:r>
      <w:r>
        <w:rPr>
          <w:rFonts w:hint="eastAsia" w:ascii="仿宋" w:hAnsi="仿宋" w:eastAsia="仿宋" w:cs="仿宋"/>
          <w:bCs w:val="0"/>
          <w:kern w:val="2"/>
          <w:sz w:val="32"/>
          <w:szCs w:val="24"/>
          <w:lang w:val="en-US" w:eastAsia="zh-CN"/>
        </w:rPr>
        <w:t>沅江市看守所</w:t>
      </w:r>
      <w:r>
        <w:rPr>
          <w:rFonts w:hint="eastAsia" w:ascii="仿宋" w:hAnsi="仿宋" w:eastAsia="仿宋" w:cs="仿宋"/>
          <w:sz w:val="32"/>
          <w:lang w:val="en-US" w:eastAsia="zh-CN"/>
        </w:rPr>
        <w:t>本级</w:t>
      </w:r>
      <w:r>
        <w:rPr>
          <w:rFonts w:ascii="仿宋" w:hAnsi="仿宋" w:eastAsia="仿宋" w:cs="仿宋"/>
          <w:sz w:val="32"/>
        </w:rPr>
        <w:t>部门决算、</w:t>
      </w:r>
      <w:r>
        <w:rPr>
          <w:rFonts w:hint="eastAsia" w:ascii="仿宋" w:hAnsi="仿宋" w:eastAsia="仿宋" w:cs="仿宋"/>
          <w:sz w:val="32"/>
          <w:lang w:val="en-US" w:eastAsia="zh-CN"/>
        </w:rPr>
        <w:t>不含二级预算单位决算。当年无变动。</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32"/>
          <w:szCs w:val="32"/>
          <w:lang w:val="en-US" w:eastAsia="zh-CN"/>
        </w:rPr>
        <w:t>1285.15</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76.08</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6.29%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疫情原因周边县市区将人员羁押至我所，羁押人数增加。</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642.89</w:t>
      </w:r>
      <w:r>
        <w:rPr>
          <w:rFonts w:hint="eastAsia" w:asciiTheme="minorEastAsia" w:hAnsiTheme="minorEastAsia" w:eastAsiaTheme="minorEastAsia"/>
          <w:sz w:val="32"/>
          <w:szCs w:val="32"/>
        </w:rPr>
        <w:t>万元，其中：</w:t>
      </w:r>
      <w:r>
        <w:rPr>
          <w:rFonts w:hint="eastAsia" w:asciiTheme="minorEastAsia" w:hAnsiTheme="minorEastAsia" w:eastAsiaTheme="minorEastAsia"/>
          <w:sz w:val="32"/>
          <w:szCs w:val="32"/>
          <w:lang w:val="en-US" w:eastAsia="zh-CN"/>
        </w:rPr>
        <w:t>一般公共预算</w:t>
      </w:r>
      <w:r>
        <w:rPr>
          <w:rFonts w:hint="eastAsia" w:asciiTheme="minorEastAsia" w:hAnsiTheme="minorEastAsia" w:eastAsiaTheme="minorEastAsia"/>
          <w:sz w:val="32"/>
          <w:szCs w:val="32"/>
        </w:rPr>
        <w:t>财政拨款收入</w:t>
      </w:r>
      <w:r>
        <w:rPr>
          <w:rFonts w:hint="eastAsia" w:asciiTheme="minorEastAsia" w:hAnsiTheme="minorEastAsia" w:eastAsiaTheme="minorEastAsia"/>
          <w:sz w:val="32"/>
          <w:szCs w:val="32"/>
          <w:lang w:val="en-US" w:eastAsia="zh-CN"/>
        </w:rPr>
        <w:t>600.89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93.47</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42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6.53</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642.26</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388.49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60.49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253.77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39.51</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1201.78</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60.11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5.27</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疫情原因周边县市区将人员羁押至我所，羁押人数增加。</w:t>
      </w:r>
    </w:p>
    <w:p>
      <w:pPr>
        <w:pStyle w:val="10"/>
        <w:ind w:firstLine="64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600.89</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93.56</w:t>
      </w:r>
      <w:r>
        <w:rPr>
          <w:rFonts w:hint="eastAsia" w:asciiTheme="minorEastAsia" w:hAnsiTheme="minorEastAsia" w:eastAsiaTheme="minorEastAsia"/>
          <w:sz w:val="32"/>
          <w:szCs w:val="32"/>
        </w:rPr>
        <w:t>%，与上年相比，财政拨款支出</w:t>
      </w:r>
      <w:r>
        <w:rPr>
          <w:rFonts w:hint="eastAsia" w:asciiTheme="minorEastAsia" w:hAnsiTheme="minorEastAsia" w:eastAsiaTheme="minorEastAsia"/>
          <w:sz w:val="32"/>
          <w:szCs w:val="32"/>
          <w:lang w:val="en-US" w:eastAsia="zh-CN"/>
        </w:rPr>
        <w:t>增加27.24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增长4.75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疫情原因周边县市区将人员羁押至我所，羁押人数增加。</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600.89</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sz w:val="32"/>
          <w:szCs w:val="32"/>
          <w:lang w:val="en-US" w:eastAsia="zh-CN"/>
        </w:rPr>
        <w:t>公共安全</w:t>
      </w:r>
      <w:r>
        <w:rPr>
          <w:rFonts w:hint="eastAsia" w:asciiTheme="minorEastAsia" w:hAnsiTheme="minorEastAsia" w:eastAsiaTheme="minorEastAsia"/>
          <w:sz w:val="32"/>
          <w:szCs w:val="32"/>
        </w:rPr>
        <w:t>（类）支出</w:t>
      </w:r>
      <w:r>
        <w:rPr>
          <w:rFonts w:hint="eastAsia" w:asciiTheme="minorEastAsia" w:hAnsiTheme="minorEastAsia" w:eastAsiaTheme="minorEastAsia"/>
          <w:sz w:val="32"/>
          <w:szCs w:val="32"/>
          <w:lang w:val="en-US" w:eastAsia="zh-CN"/>
        </w:rPr>
        <w:t>585.66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97.47</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住房保障</w:t>
      </w:r>
      <w:r>
        <w:rPr>
          <w:rFonts w:hint="eastAsia" w:asciiTheme="minorEastAsia" w:hAnsiTheme="minorEastAsia" w:eastAsiaTheme="minorEastAsia"/>
          <w:sz w:val="32"/>
          <w:szCs w:val="32"/>
        </w:rPr>
        <w:t>（类）支出</w:t>
      </w:r>
      <w:r>
        <w:rPr>
          <w:rFonts w:hint="eastAsia" w:asciiTheme="minorEastAsia" w:hAnsiTheme="minorEastAsia" w:eastAsiaTheme="minorEastAsia"/>
          <w:sz w:val="32"/>
          <w:szCs w:val="32"/>
          <w:lang w:val="en-US" w:eastAsia="zh-CN"/>
        </w:rPr>
        <w:t>15.23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2.53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517.6</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600.89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116.09</w:t>
      </w:r>
      <w:r>
        <w:rPr>
          <w:rFonts w:hint="eastAsia" w:asciiTheme="minorEastAsia" w:hAnsiTheme="minorEastAsia" w:eastAsiaTheme="minorEastAsia"/>
          <w:sz w:val="32"/>
          <w:szCs w:val="32"/>
        </w:rPr>
        <w:t>%，其中：</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按经济分类，工资福利支出</w:t>
      </w:r>
      <w:r>
        <w:rPr>
          <w:rFonts w:hint="eastAsia" w:asciiTheme="minorEastAsia" w:hAnsiTheme="minorEastAsia" w:eastAsiaTheme="minorEastAsia"/>
          <w:sz w:val="32"/>
          <w:szCs w:val="32"/>
          <w:lang w:val="en-US" w:eastAsia="zh-CN"/>
        </w:rPr>
        <w:t>340.70</w:t>
      </w:r>
      <w:r>
        <w:rPr>
          <w:rFonts w:hint="eastAsia" w:asciiTheme="minorEastAsia" w:hAnsiTheme="minorEastAsia" w:eastAsiaTheme="minorEastAsia"/>
          <w:sz w:val="32"/>
          <w:szCs w:val="32"/>
        </w:rPr>
        <w:t>万元，比上年</w:t>
      </w:r>
      <w:r>
        <w:rPr>
          <w:rFonts w:hint="eastAsia" w:asciiTheme="minorEastAsia" w:hAnsiTheme="minorEastAsia" w:eastAsiaTheme="minorEastAsia"/>
          <w:sz w:val="32"/>
          <w:szCs w:val="32"/>
          <w:lang w:val="en-US" w:eastAsia="zh-CN"/>
        </w:rPr>
        <w:t>增加71.38</w:t>
      </w:r>
      <w:r>
        <w:rPr>
          <w:rFonts w:hint="eastAsia" w:asciiTheme="minorEastAsia" w:hAnsiTheme="minorEastAsia" w:eastAsiaTheme="minorEastAsia"/>
          <w:sz w:val="32"/>
          <w:szCs w:val="32"/>
        </w:rPr>
        <w:t>万元，商品服务支出</w:t>
      </w:r>
      <w:r>
        <w:rPr>
          <w:rFonts w:hint="eastAsia" w:asciiTheme="minorEastAsia" w:hAnsiTheme="minorEastAsia" w:eastAsiaTheme="minorEastAsia"/>
          <w:sz w:val="32"/>
          <w:szCs w:val="32"/>
          <w:lang w:val="en-US" w:eastAsia="zh-CN"/>
        </w:rPr>
        <w:t>258.36</w:t>
      </w:r>
      <w:r>
        <w:rPr>
          <w:rFonts w:hint="eastAsia" w:asciiTheme="minorEastAsia" w:hAnsiTheme="minorEastAsia" w:eastAsiaTheme="minorEastAsia"/>
          <w:sz w:val="32"/>
          <w:szCs w:val="32"/>
        </w:rPr>
        <w:t>万元，比上年</w:t>
      </w:r>
      <w:r>
        <w:rPr>
          <w:rFonts w:hint="eastAsia" w:asciiTheme="minorEastAsia" w:hAnsiTheme="minorEastAsia" w:eastAsiaTheme="minorEastAsia"/>
          <w:sz w:val="32"/>
          <w:szCs w:val="32"/>
          <w:lang w:val="en-US" w:eastAsia="zh-CN"/>
        </w:rPr>
        <w:t>增加86.91</w:t>
      </w:r>
      <w:r>
        <w:rPr>
          <w:rFonts w:hint="eastAsia" w:asciiTheme="minorEastAsia" w:hAnsiTheme="minorEastAsia" w:eastAsiaTheme="minorEastAsia"/>
          <w:sz w:val="32"/>
          <w:szCs w:val="32"/>
        </w:rPr>
        <w:t>万元，对个人和家庭的补助</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万元，比上年</w:t>
      </w:r>
      <w:r>
        <w:rPr>
          <w:rFonts w:hint="eastAsia" w:asciiTheme="minorEastAsia" w:hAnsiTheme="minorEastAsia" w:eastAsiaTheme="minorEastAsia"/>
          <w:sz w:val="32"/>
          <w:szCs w:val="32"/>
          <w:lang w:val="en-US" w:eastAsia="zh-CN"/>
        </w:rPr>
        <w:t>减少129.21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资本性</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1.83</w:t>
      </w:r>
      <w:r>
        <w:rPr>
          <w:rFonts w:hint="eastAsia" w:asciiTheme="minorEastAsia" w:hAnsiTheme="minorEastAsia" w:eastAsiaTheme="minorEastAsia"/>
          <w:sz w:val="32"/>
          <w:szCs w:val="32"/>
        </w:rPr>
        <w:t>万，比上年</w:t>
      </w:r>
      <w:r>
        <w:rPr>
          <w:rFonts w:hint="eastAsia" w:asciiTheme="minorEastAsia" w:hAnsiTheme="minorEastAsia" w:eastAsiaTheme="minorEastAsia"/>
          <w:sz w:val="32"/>
          <w:szCs w:val="32"/>
          <w:lang w:val="en-US" w:eastAsia="zh-CN"/>
        </w:rPr>
        <w:t>减少1.84</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hint="default" w:asciiTheme="minorEastAsia" w:hAnsiTheme="minorEastAsia" w:eastAsiaTheme="minorEastAsia"/>
          <w:i/>
          <w:color w:val="FF0000"/>
          <w:sz w:val="32"/>
          <w:szCs w:val="32"/>
          <w:lang w:val="en-US" w:eastAsia="zh-CN"/>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358.34</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323.34</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90.23</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机关事业单位基本养老保险缴费、职工基本医疗保险缴费、其他社会保障缴费、住房公积金、其他工资福利支出</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35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9.77</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val="en-US" w:eastAsia="zh-CN"/>
        </w:rPr>
        <w:t>水费、电费、邮电费、取暖费、物业管理费、差旅费、维修（护）费、被装购置费、专用燃料费、劳务费、委托业务费、工会经费、公务用车运行维护费、其他交通费用、其他商品和服务支出。</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87.5</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与预算数一致</w:t>
      </w:r>
      <w:r>
        <w:rPr>
          <w:rFonts w:hint="eastAsia" w:asciiTheme="minorEastAsia" w:hAnsiTheme="minorEastAsia" w:eastAsiaTheme="minorEastAsia"/>
          <w:sz w:val="32"/>
          <w:szCs w:val="32"/>
        </w:rPr>
        <w:t>，与上年</w:t>
      </w:r>
      <w:r>
        <w:rPr>
          <w:rFonts w:hint="eastAsia" w:asciiTheme="minorEastAsia" w:hAnsiTheme="minorEastAsia" w:eastAsiaTheme="minorEastAsia"/>
          <w:sz w:val="32"/>
          <w:szCs w:val="32"/>
          <w:lang w:val="en-US" w:eastAsia="zh-CN"/>
        </w:rPr>
        <w:t>持平</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与预算数一致</w:t>
      </w:r>
      <w:r>
        <w:rPr>
          <w:rFonts w:hint="eastAsia" w:asciiTheme="minorEastAsia" w:hAnsiTheme="minorEastAsia" w:eastAsiaTheme="minorEastAsia"/>
          <w:sz w:val="32"/>
          <w:szCs w:val="32"/>
        </w:rPr>
        <w:t>，与上年</w:t>
      </w:r>
      <w:r>
        <w:rPr>
          <w:rFonts w:hint="eastAsia" w:asciiTheme="minorEastAsia" w:hAnsiTheme="minorEastAsia" w:eastAsiaTheme="minorEastAsia"/>
          <w:sz w:val="32"/>
          <w:szCs w:val="32"/>
          <w:lang w:val="en-US" w:eastAsia="zh-CN"/>
        </w:rPr>
        <w:t>持平</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与预算数一致</w:t>
      </w:r>
      <w:r>
        <w:rPr>
          <w:rFonts w:hint="eastAsia" w:asciiTheme="minorEastAsia" w:hAnsiTheme="minorEastAsia" w:eastAsiaTheme="minorEastAsia"/>
          <w:sz w:val="32"/>
          <w:szCs w:val="32"/>
        </w:rPr>
        <w:t>，与上年</w:t>
      </w:r>
      <w:r>
        <w:rPr>
          <w:rFonts w:hint="eastAsia" w:asciiTheme="minorEastAsia" w:hAnsiTheme="minorEastAsia" w:eastAsiaTheme="minorEastAsia"/>
          <w:sz w:val="32"/>
          <w:szCs w:val="32"/>
          <w:lang w:val="en-US" w:eastAsia="zh-CN"/>
        </w:rPr>
        <w:t>持平</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87.5</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val="en-US" w:eastAsia="zh-CN"/>
        </w:rPr>
        <w:t>疫情原因闭所管理</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val="en-US" w:eastAsia="zh-CN"/>
        </w:rPr>
        <w:t>减少0.13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降低10.67</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val="en-US" w:eastAsia="zh-CN"/>
        </w:rPr>
        <w:t>疫情原因闭所管理</w:t>
      </w:r>
      <w:r>
        <w:rPr>
          <w:rFonts w:hint="eastAsia" w:asciiTheme="minorEastAsia" w:hAnsiTheme="minorEastAsia" w:eastAsiaTheme="minorEastAsia"/>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1.05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val="en-US" w:eastAsia="zh-CN"/>
        </w:rPr>
        <w:t>次，无相关开支。</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val="en-US" w:eastAsia="zh-CN"/>
        </w:rPr>
        <w:t>无相关</w:t>
      </w:r>
      <w:r>
        <w:rPr>
          <w:rFonts w:hint="eastAsia" w:asciiTheme="minorEastAsia" w:hAnsiTheme="minorEastAsia" w:eastAsiaTheme="minorEastAsia"/>
          <w:sz w:val="32"/>
          <w:szCs w:val="32"/>
        </w:rPr>
        <w:t>接待支出。</w:t>
      </w:r>
    </w:p>
    <w:p>
      <w:pPr>
        <w:ind w:firstLine="800" w:firstLineChars="250"/>
        <w:rPr>
          <w:rFonts w:hint="default" w:cs="黑体" w:asciiTheme="minorEastAsia" w:hAnsiTheme="minorEastAsia" w:eastAsiaTheme="minorEastAsia"/>
          <w:color w:val="000000"/>
          <w:kern w:val="0"/>
          <w:sz w:val="32"/>
          <w:szCs w:val="32"/>
          <w:lang w:val="en-US" w:eastAsia="zh-CN"/>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1.05</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val="en-US" w:eastAsia="zh-CN"/>
        </w:rPr>
        <w:t>未更新公务用车</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1.05</w:t>
      </w:r>
      <w:r>
        <w:rPr>
          <w:rFonts w:hint="eastAsia" w:asciiTheme="minorEastAsia" w:hAnsiTheme="minorEastAsia"/>
          <w:sz w:val="32"/>
          <w:szCs w:val="32"/>
        </w:rPr>
        <w:t>万元，主要是</w:t>
      </w:r>
      <w:r>
        <w:rPr>
          <w:rFonts w:hint="eastAsia" w:asciiTheme="minorEastAsia" w:hAnsiTheme="minorEastAsia"/>
          <w:sz w:val="32"/>
          <w:szCs w:val="32"/>
          <w:lang w:val="en-US" w:eastAsia="zh-CN"/>
        </w:rPr>
        <w:t>油费、修理费、保险费、过桥过路费、年检费、保养清洁费用</w:t>
      </w:r>
      <w:r>
        <w:rPr>
          <w:rFonts w:hint="eastAsia" w:asciiTheme="minorEastAsia" w:hAnsiTheme="minorEastAsia"/>
          <w:sz w:val="32"/>
          <w:szCs w:val="32"/>
        </w:rPr>
        <w:t>支出，截止2021年12月31日，我单位开支财政拨款的公务用车保有量为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r>
        <w:rPr>
          <w:rFonts w:hint="eastAsia" w:asciiTheme="minorEastAsia" w:hAnsiTheme="minorEastAsia"/>
          <w:sz w:val="32"/>
          <w:szCs w:val="32"/>
          <w:lang w:eastAsia="zh-CN"/>
        </w:rPr>
        <w:t>，</w:t>
      </w:r>
      <w:r>
        <w:rPr>
          <w:rFonts w:hint="eastAsia" w:asciiTheme="minorEastAsia" w:hAnsiTheme="minorEastAsia"/>
          <w:sz w:val="32"/>
          <w:szCs w:val="32"/>
          <w:lang w:val="en-US" w:eastAsia="zh-CN"/>
        </w:rPr>
        <w:t>全部为执勤执法用车。</w:t>
      </w:r>
    </w:p>
    <w:p>
      <w:pPr>
        <w:pStyle w:val="10"/>
        <w:rPr>
          <w:rFonts w:hAnsi="黑体"/>
          <w:b/>
          <w:sz w:val="32"/>
          <w:szCs w:val="32"/>
        </w:rPr>
      </w:pPr>
      <w:r>
        <w:rPr>
          <w:rFonts w:hint="eastAsia" w:hAnsi="黑体"/>
          <w:b/>
          <w:sz w:val="32"/>
          <w:szCs w:val="32"/>
        </w:rPr>
        <w:t>八、政府性基金预算收入支出决算情况</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2021年度</w:t>
      </w:r>
      <w:r>
        <w:rPr>
          <w:rFonts w:hint="eastAsia" w:asciiTheme="minorEastAsia" w:hAnsiTheme="minorEastAsia" w:eastAsiaTheme="minorEastAsia"/>
          <w:sz w:val="32"/>
          <w:szCs w:val="32"/>
          <w:lang w:val="en-US" w:eastAsia="zh-CN"/>
        </w:rPr>
        <w:t>我所无</w:t>
      </w:r>
      <w:r>
        <w:rPr>
          <w:rFonts w:hint="eastAsia" w:asciiTheme="minorEastAsia" w:hAnsiTheme="minorEastAsia" w:eastAsiaTheme="minorEastAsia"/>
          <w:sz w:val="32"/>
          <w:szCs w:val="32"/>
        </w:rPr>
        <w:t>政府性基金预算财政拨款收入</w:t>
      </w:r>
      <w:r>
        <w:rPr>
          <w:rFonts w:hint="eastAsia" w:asciiTheme="minorEastAsia" w:hAnsiTheme="minorEastAsia" w:eastAsiaTheme="minorEastAsia"/>
          <w:sz w:val="32"/>
          <w:szCs w:val="32"/>
          <w:lang w:val="en-US" w:eastAsia="zh-CN"/>
        </w:rPr>
        <w:t>支出。</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35</w:t>
      </w:r>
      <w:r>
        <w:rPr>
          <w:rFonts w:hint="eastAsia" w:asciiTheme="minorEastAsia" w:hAnsiTheme="minorEastAsia" w:eastAsiaTheme="minorEastAsia"/>
          <w:sz w:val="32"/>
          <w:szCs w:val="32"/>
        </w:rPr>
        <w:t>万元，比上年决算数减少</w:t>
      </w:r>
      <w:r>
        <w:rPr>
          <w:rFonts w:hint="eastAsia" w:asciiTheme="minorEastAsia" w:hAnsiTheme="minorEastAsia" w:eastAsiaTheme="minorEastAsia"/>
          <w:sz w:val="32"/>
          <w:szCs w:val="32"/>
          <w:lang w:val="en-US" w:eastAsia="zh-CN"/>
        </w:rPr>
        <w:t>2.69</w:t>
      </w:r>
      <w:r>
        <w:rPr>
          <w:rFonts w:hint="eastAsia" w:asciiTheme="minorEastAsia" w:hAnsiTheme="minorEastAsia" w:eastAsiaTheme="minorEastAsia"/>
          <w:sz w:val="32"/>
          <w:szCs w:val="32"/>
        </w:rPr>
        <w:t>万元，降低</w:t>
      </w:r>
      <w:r>
        <w:rPr>
          <w:rFonts w:hint="eastAsia" w:asciiTheme="minorEastAsia" w:hAnsiTheme="minorEastAsia" w:eastAsiaTheme="minorEastAsia"/>
          <w:sz w:val="32"/>
          <w:szCs w:val="32"/>
          <w:lang w:val="en-US" w:eastAsia="zh-CN"/>
        </w:rPr>
        <w:t>8.33</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人员减少</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无会议费开支</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无培训费开支。</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辆，其中，执法执勤用车</w:t>
      </w:r>
      <w:r>
        <w:rPr>
          <w:rFonts w:hint="eastAsia" w:asciiTheme="minorEastAsia" w:hAnsiTheme="minorEastAsia" w:eastAsiaTheme="minorEastAsia"/>
          <w:sz w:val="32"/>
          <w:szCs w:val="32"/>
          <w:lang w:val="en-US" w:eastAsia="zh-CN"/>
        </w:rPr>
        <w:t>45</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根据预算绩效管理要求，我部门组织对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年度一般公共预算项目支出全面开展绩效自评，其中，一级项目</w:t>
      </w:r>
      <w:r>
        <w:rPr>
          <w:rFonts w:hint="eastAsia" w:cs="黑体" w:asciiTheme="minorEastAsia" w:hAnsiTheme="minorEastAsia"/>
          <w:color w:val="000000"/>
          <w:kern w:val="0"/>
          <w:sz w:val="32"/>
          <w:szCs w:val="32"/>
          <w:lang w:val="en-US" w:eastAsia="zh-CN"/>
        </w:rPr>
        <w:t>6</w:t>
      </w:r>
      <w:r>
        <w:rPr>
          <w:rFonts w:hint="eastAsia" w:cs="黑体" w:asciiTheme="minorEastAsia" w:hAnsiTheme="minorEastAsia"/>
          <w:color w:val="000000"/>
          <w:kern w:val="0"/>
          <w:sz w:val="32"/>
          <w:szCs w:val="32"/>
        </w:rPr>
        <w:t>个，共涉及资金</w:t>
      </w:r>
      <w:r>
        <w:rPr>
          <w:rFonts w:hint="eastAsia" w:cs="黑体" w:asciiTheme="minorEastAsia" w:hAnsiTheme="minorEastAsia"/>
          <w:color w:val="000000"/>
          <w:kern w:val="0"/>
          <w:sz w:val="32"/>
          <w:szCs w:val="32"/>
          <w:lang w:val="en-US" w:eastAsia="zh-CN"/>
        </w:rPr>
        <w:t>261.25</w:t>
      </w:r>
      <w:r>
        <w:rPr>
          <w:rFonts w:hint="eastAsia" w:cs="黑体" w:asciiTheme="minorEastAsia" w:hAnsiTheme="minorEastAsia"/>
          <w:color w:val="000000"/>
          <w:kern w:val="0"/>
          <w:sz w:val="32"/>
          <w:szCs w:val="32"/>
        </w:rPr>
        <w:t>万元，占一般公共预算项目支出总额的</w:t>
      </w:r>
      <w:r>
        <w:rPr>
          <w:rFonts w:hint="eastAsia" w:cs="黑体" w:asciiTheme="minorEastAsia" w:hAnsiTheme="minorEastAsia"/>
          <w:color w:val="000000"/>
          <w:kern w:val="0"/>
          <w:sz w:val="32"/>
          <w:szCs w:val="32"/>
          <w:lang w:val="en-US" w:eastAsia="zh-CN"/>
        </w:rPr>
        <w:t>100</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val="en-US" w:eastAsia="zh-CN"/>
        </w:rPr>
        <w:t>未</w:t>
      </w:r>
      <w:r>
        <w:rPr>
          <w:rFonts w:hint="eastAsia" w:cs="黑体" w:asciiTheme="minorEastAsia" w:hAnsiTheme="minorEastAsia"/>
          <w:color w:val="000000"/>
          <w:kern w:val="0"/>
          <w:sz w:val="32"/>
          <w:szCs w:val="32"/>
        </w:rPr>
        <w:t>组织对</w:t>
      </w:r>
      <w:r>
        <w:rPr>
          <w:rFonts w:cs="黑体" w:asciiTheme="minorEastAsia" w:hAnsiTheme="minorEastAsia"/>
          <w:color w:val="000000"/>
          <w:kern w:val="0"/>
          <w:sz w:val="32"/>
          <w:szCs w:val="32"/>
        </w:rPr>
        <w:t>2021</w:t>
      </w:r>
      <w:r>
        <w:rPr>
          <w:rFonts w:hint="eastAsia" w:cs="黑体" w:asciiTheme="minorEastAsia" w:hAnsiTheme="minorEastAsia"/>
          <w:color w:val="000000"/>
          <w:kern w:val="0"/>
          <w:sz w:val="32"/>
          <w:szCs w:val="32"/>
        </w:rPr>
        <w:t>年度政府性基金预算项目支出开展绩效自评</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lang w:val="en-US" w:eastAsia="zh-CN"/>
        </w:rPr>
        <w:t>无</w:t>
      </w:r>
      <w:r>
        <w:rPr>
          <w:rFonts w:hint="eastAsia" w:cs="黑体" w:asciiTheme="minorEastAsia" w:hAnsiTheme="minorEastAsia"/>
          <w:color w:val="000000"/>
          <w:kern w:val="0"/>
          <w:sz w:val="32"/>
          <w:szCs w:val="32"/>
        </w:rPr>
        <w:t>国有资本经营预算项目支出。</w:t>
      </w:r>
    </w:p>
    <w:p>
      <w:pPr>
        <w:ind w:firstLine="640"/>
        <w:rPr>
          <w:rFonts w:hint="eastAsia"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rPr>
        <w:t>组织对</w:t>
      </w:r>
      <w:r>
        <w:rPr>
          <w:rFonts w:hint="eastAsia" w:cs="黑体" w:asciiTheme="minorEastAsia" w:hAnsiTheme="minorEastAsia"/>
          <w:color w:val="000000"/>
          <w:kern w:val="0"/>
          <w:sz w:val="32"/>
          <w:szCs w:val="32"/>
          <w:lang w:val="en-US" w:eastAsia="zh-CN"/>
        </w:rPr>
        <w:t>羁押人员给养经费1</w:t>
      </w:r>
      <w:r>
        <w:rPr>
          <w:rFonts w:hint="eastAsia" w:cs="黑体" w:asciiTheme="minorEastAsia" w:hAnsiTheme="minorEastAsia"/>
          <w:color w:val="000000"/>
          <w:kern w:val="0"/>
          <w:sz w:val="32"/>
          <w:szCs w:val="32"/>
        </w:rPr>
        <w:t>个项目开展了部门评价，涉及一般公共预算支出</w:t>
      </w:r>
      <w:r>
        <w:rPr>
          <w:rFonts w:hint="eastAsia" w:cs="黑体" w:asciiTheme="minorEastAsia" w:hAnsiTheme="minorEastAsia"/>
          <w:color w:val="000000"/>
          <w:kern w:val="0"/>
          <w:sz w:val="32"/>
          <w:szCs w:val="32"/>
          <w:lang w:val="en-US" w:eastAsia="zh-CN"/>
        </w:rPr>
        <w:t>107.25</w:t>
      </w:r>
      <w:r>
        <w:rPr>
          <w:rFonts w:hint="eastAsia" w:cs="黑体" w:asciiTheme="minorEastAsia" w:hAnsiTheme="minorEastAsia"/>
          <w:color w:val="000000"/>
          <w:kern w:val="0"/>
          <w:sz w:val="32"/>
          <w:szCs w:val="32"/>
        </w:rPr>
        <w:t>万元，政府性基金预算支出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万元，国有资本经营预算支出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万元。从评价情况来看，</w:t>
      </w:r>
      <w:r>
        <w:rPr>
          <w:rFonts w:hint="eastAsia" w:ascii="宋体" w:hAnsi="宋体" w:cs="宋体"/>
          <w:color w:val="000000"/>
          <w:kern w:val="0"/>
          <w:sz w:val="30"/>
          <w:szCs w:val="30"/>
        </w:rPr>
        <w:t>总的来说，</w:t>
      </w:r>
      <w:r>
        <w:rPr>
          <w:rFonts w:hint="eastAsia" w:cs="黑体" w:asciiTheme="minorEastAsia" w:hAnsiTheme="minorEastAsia"/>
          <w:color w:val="000000"/>
          <w:kern w:val="0"/>
          <w:sz w:val="32"/>
          <w:szCs w:val="32"/>
        </w:rPr>
        <w:t>基本达成总体绩效目标，</w:t>
      </w:r>
      <w:r>
        <w:rPr>
          <w:rFonts w:hint="eastAsia" w:cs="黑体" w:asciiTheme="minorEastAsia" w:hAnsiTheme="minorEastAsia"/>
          <w:color w:val="000000"/>
          <w:kern w:val="0"/>
          <w:sz w:val="32"/>
          <w:szCs w:val="32"/>
          <w:lang w:val="en-US" w:eastAsia="zh-CN"/>
        </w:rPr>
        <w:t>保障劳改人员的基本生存，</w:t>
      </w:r>
      <w:r>
        <w:rPr>
          <w:rFonts w:hint="eastAsia" w:cs="黑体" w:asciiTheme="minorEastAsia" w:hAnsiTheme="minorEastAsia"/>
          <w:color w:val="000000"/>
          <w:kern w:val="0"/>
          <w:sz w:val="32"/>
          <w:szCs w:val="32"/>
        </w:rPr>
        <w:t>保障在押人员的合法权益，保障在押人员身体的健康</w:t>
      </w:r>
      <w:r>
        <w:rPr>
          <w:rFonts w:hint="eastAsia" w:cs="黑体" w:asciiTheme="minorEastAsia" w:hAnsiTheme="minorEastAsia"/>
          <w:color w:val="000000"/>
          <w:kern w:val="0"/>
          <w:sz w:val="32"/>
          <w:szCs w:val="32"/>
          <w:lang w:eastAsia="zh-CN"/>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组织对</w:t>
      </w:r>
      <w:r>
        <w:rPr>
          <w:rFonts w:hint="eastAsia" w:cs="黑体" w:asciiTheme="minorEastAsia" w:hAnsiTheme="minorEastAsia"/>
          <w:color w:val="000000"/>
          <w:kern w:val="0"/>
          <w:sz w:val="32"/>
          <w:szCs w:val="32"/>
          <w:lang w:val="en-US" w:eastAsia="zh-CN"/>
        </w:rPr>
        <w:t>沅江市看守所本级</w:t>
      </w:r>
      <w:r>
        <w:rPr>
          <w:rFonts w:hint="eastAsia" w:cs="黑体" w:asciiTheme="minorEastAsia" w:hAnsiTheme="minorEastAsia"/>
          <w:color w:val="000000"/>
          <w:kern w:val="0"/>
          <w:sz w:val="32"/>
          <w:szCs w:val="32"/>
        </w:rPr>
        <w:t>单位开展整体支出绩效评价，涉及一般公共预算支出</w:t>
      </w:r>
      <w:r>
        <w:rPr>
          <w:rFonts w:hint="eastAsia" w:cs="黑体" w:asciiTheme="minorEastAsia" w:hAnsiTheme="minorEastAsia"/>
          <w:color w:val="000000"/>
          <w:kern w:val="0"/>
          <w:sz w:val="32"/>
          <w:szCs w:val="32"/>
          <w:lang w:val="en-US" w:eastAsia="zh-CN"/>
        </w:rPr>
        <w:t>642.89</w:t>
      </w:r>
      <w:r>
        <w:rPr>
          <w:rFonts w:hint="eastAsia" w:cs="黑体" w:asciiTheme="minorEastAsia" w:hAnsiTheme="minorEastAsia"/>
          <w:color w:val="000000"/>
          <w:kern w:val="0"/>
          <w:sz w:val="32"/>
          <w:szCs w:val="32"/>
        </w:rPr>
        <w:t>万元，政府性基金预算支出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万元。从评价情况来看，</w:t>
      </w:r>
      <w:r>
        <w:rPr>
          <w:rFonts w:hint="eastAsia" w:ascii="宋体" w:hAnsi="宋体" w:cs="宋体"/>
          <w:color w:val="000000"/>
          <w:kern w:val="0"/>
          <w:sz w:val="30"/>
          <w:szCs w:val="30"/>
        </w:rPr>
        <w:t>总的来说，20</w:t>
      </w:r>
      <w:r>
        <w:rPr>
          <w:rFonts w:hint="eastAsia" w:ascii="宋体" w:hAnsi="宋体" w:cs="宋体"/>
          <w:color w:val="000000"/>
          <w:kern w:val="0"/>
          <w:sz w:val="30"/>
          <w:szCs w:val="30"/>
          <w:lang w:val="en-US" w:eastAsia="zh-CN"/>
        </w:rPr>
        <w:t>21</w:t>
      </w:r>
      <w:r>
        <w:rPr>
          <w:rFonts w:hint="eastAsia" w:ascii="宋体" w:hAnsi="宋体" w:cs="宋体"/>
          <w:color w:val="000000"/>
          <w:kern w:val="0"/>
          <w:sz w:val="30"/>
          <w:szCs w:val="30"/>
        </w:rPr>
        <w:t>年我</w:t>
      </w:r>
      <w:r>
        <w:rPr>
          <w:rFonts w:hint="eastAsia" w:ascii="宋体" w:hAnsi="宋体" w:cs="宋体"/>
          <w:color w:val="000000"/>
          <w:kern w:val="0"/>
          <w:sz w:val="30"/>
          <w:szCs w:val="30"/>
          <w:lang w:val="en-US" w:eastAsia="zh-CN"/>
        </w:rPr>
        <w:t>所</w:t>
      </w:r>
      <w:r>
        <w:rPr>
          <w:rFonts w:hint="eastAsia" w:ascii="宋体" w:hAnsi="宋体" w:cs="宋体"/>
          <w:color w:val="000000"/>
          <w:kern w:val="0"/>
          <w:sz w:val="30"/>
          <w:szCs w:val="30"/>
        </w:rPr>
        <w:t>全体干部职工积极履职、扎实工作，较好完成了全年工作目标。</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（2）部门决算中项目绩效自评结果。</w:t>
      </w:r>
    </w:p>
    <w:p>
      <w:pPr>
        <w:spacing w:line="560" w:lineRule="exact"/>
        <w:ind w:firstLine="640" w:firstLineChars="200"/>
        <w:rPr>
          <w:rFonts w:hint="default"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lang w:val="en-US" w:eastAsia="zh-CN"/>
        </w:rPr>
        <w:t>2021年我所实施的“</w:t>
      </w:r>
      <w:r>
        <w:rPr>
          <w:rFonts w:hint="eastAsia" w:cs="黑体" w:asciiTheme="minorEastAsia" w:hAnsiTheme="minorEastAsia"/>
          <w:color w:val="000000"/>
          <w:kern w:val="0"/>
          <w:sz w:val="32"/>
          <w:szCs w:val="32"/>
          <w:lang w:val="en-US" w:eastAsia="zh-CN"/>
        </w:rPr>
        <w:t>羁押人员给养经费”专项资金项目总体评价是：项目科学合理，项目管理规范，项目监管到位，项目完成较好，项目质量较高，运行保障有力，各项效益明显，群众反响较好，社会经济效益显著。存在的问题：项目建设程序有待进一步规范；项目后续管理有待进一步加强。下一步改进措施：加大政策倾斜和资金扶持力度，希望市财政给予更多的政策倾斜和资金支持，争取做到在保障好在押人员的基本生活的同时做好在押人员的再教育工作。</w:t>
      </w:r>
    </w:p>
    <w:p>
      <w:pPr>
        <w:autoSpaceDE w:val="0"/>
        <w:autoSpaceDN w:val="0"/>
        <w:adjustRightInd w:val="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cs="黑体" w:asciiTheme="minorEastAsia" w:hAnsiTheme="minorEastAsia"/>
          <w:b/>
          <w:color w:val="000000"/>
          <w:kern w:val="0"/>
          <w:sz w:val="32"/>
          <w:szCs w:val="32"/>
        </w:rPr>
        <w:t>3</w:t>
      </w:r>
      <w:r>
        <w:rPr>
          <w:rFonts w:hint="eastAsia" w:cs="黑体" w:asciiTheme="minorEastAsia" w:hAnsiTheme="minorEastAsia"/>
          <w:b/>
          <w:color w:val="000000"/>
          <w:kern w:val="0"/>
          <w:sz w:val="32"/>
          <w:szCs w:val="32"/>
        </w:rPr>
        <w:t>）部门评价项目绩效评价结果。</w:t>
      </w:r>
    </w:p>
    <w:p>
      <w:pPr>
        <w:pStyle w:val="10"/>
        <w:ind w:firstLine="640" w:firstLineChars="200"/>
        <w:jc w:val="left"/>
        <w:rPr>
          <w:rFonts w:hint="eastAsia" w:asciiTheme="minorEastAsia" w:hAnsiTheme="minorEastAsia" w:eastAsiaTheme="minorEastAsia" w:cstheme="minorEastAsia"/>
          <w:sz w:val="72"/>
          <w:szCs w:val="72"/>
          <w:lang w:val="en-US" w:eastAsia="zh-CN"/>
        </w:rPr>
      </w:pPr>
      <w:r>
        <w:rPr>
          <w:rFonts w:hint="eastAsia" w:asciiTheme="minorEastAsia" w:hAnsiTheme="minorEastAsia" w:eastAsiaTheme="minorEastAsia" w:cstheme="minorEastAsia"/>
          <w:color w:val="000000"/>
          <w:kern w:val="0"/>
          <w:sz w:val="32"/>
          <w:szCs w:val="32"/>
          <w:lang w:val="en-US" w:eastAsia="zh-CN"/>
        </w:rPr>
        <w:t>部门评价项目绩效评价结果已按相关规定在政府网公示。</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jc w:val="left"/>
        <w:rPr>
          <w:rFonts w:eastAsia="黑体" w:cs="黑体" w:asciiTheme="minorEastAsia" w:hAnsiTheme="minorEastAsia"/>
          <w:color w:val="000000"/>
          <w:kern w:val="0"/>
          <w:sz w:val="28"/>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shd w:val="clear" w:color="auto" w:fill="FFFFFF"/>
        <w:spacing w:line="600" w:lineRule="atLeast"/>
        <w:jc w:val="center"/>
        <w:rPr>
          <w:rFonts w:hint="eastAsia" w:ascii="方正小标宋简体" w:eastAsia="方正小标宋简体" w:cs="宋体"/>
          <w:color w:val="333333"/>
          <w:kern w:val="0"/>
          <w:sz w:val="44"/>
          <w:szCs w:val="44"/>
        </w:rPr>
      </w:pPr>
      <w:r>
        <w:rPr>
          <w:rFonts w:hint="eastAsia" w:ascii="方正小标宋简体" w:eastAsia="方正小标宋简体" w:cs="宋体"/>
          <w:color w:val="333333"/>
          <w:kern w:val="0"/>
          <w:sz w:val="44"/>
          <w:szCs w:val="44"/>
        </w:rPr>
        <w:t>20</w:t>
      </w:r>
      <w:r>
        <w:rPr>
          <w:rFonts w:hint="eastAsia" w:ascii="方正小标宋简体" w:eastAsia="方正小标宋简体" w:cs="宋体"/>
          <w:color w:val="333333"/>
          <w:kern w:val="0"/>
          <w:sz w:val="44"/>
          <w:szCs w:val="44"/>
          <w:lang w:val="en-US" w:eastAsia="zh-CN"/>
        </w:rPr>
        <w:t>21</w:t>
      </w:r>
      <w:r>
        <w:rPr>
          <w:rFonts w:hint="eastAsia" w:ascii="方正小标宋简体" w:eastAsia="方正小标宋简体" w:cs="宋体"/>
          <w:color w:val="333333"/>
          <w:kern w:val="0"/>
          <w:sz w:val="44"/>
          <w:szCs w:val="44"/>
        </w:rPr>
        <w:t>年度沅江市看守所整体</w:t>
      </w:r>
      <w:r>
        <w:rPr>
          <w:rFonts w:ascii="方正小标宋简体" w:eastAsia="方正小标宋简体" w:cs="宋体"/>
          <w:color w:val="333333"/>
          <w:kern w:val="0"/>
          <w:sz w:val="44"/>
          <w:szCs w:val="44"/>
        </w:rPr>
        <w:t>支出</w:t>
      </w:r>
    </w:p>
    <w:p>
      <w:pPr>
        <w:widowControl/>
        <w:shd w:val="clear" w:color="auto" w:fill="FFFFFF"/>
        <w:spacing w:line="600" w:lineRule="atLeast"/>
        <w:jc w:val="center"/>
        <w:rPr>
          <w:rFonts w:ascii="方正小标宋简体" w:eastAsia="方正小标宋简体" w:cs="宋体"/>
          <w:color w:val="333333"/>
          <w:kern w:val="0"/>
          <w:sz w:val="44"/>
          <w:szCs w:val="44"/>
        </w:rPr>
      </w:pPr>
      <w:r>
        <w:rPr>
          <w:rFonts w:ascii="方正小标宋简体" w:eastAsia="方正小标宋简体" w:cs="宋体"/>
          <w:color w:val="333333"/>
          <w:kern w:val="0"/>
          <w:sz w:val="44"/>
          <w:szCs w:val="44"/>
        </w:rPr>
        <w:t>绩效</w:t>
      </w:r>
      <w:r>
        <w:rPr>
          <w:rFonts w:hint="eastAsia" w:ascii="方正小标宋简体" w:eastAsia="方正小标宋简体" w:cs="宋体"/>
          <w:color w:val="333333"/>
          <w:kern w:val="0"/>
          <w:sz w:val="44"/>
          <w:szCs w:val="44"/>
        </w:rPr>
        <w:t>评价</w:t>
      </w:r>
      <w:r>
        <w:rPr>
          <w:rFonts w:ascii="方正小标宋简体" w:eastAsia="方正小标宋简体" w:cs="宋体"/>
          <w:color w:val="333333"/>
          <w:kern w:val="0"/>
          <w:sz w:val="44"/>
          <w:szCs w:val="44"/>
        </w:rPr>
        <w:t>报告</w:t>
      </w:r>
    </w:p>
    <w:p>
      <w:pPr>
        <w:widowControl/>
        <w:shd w:val="clear" w:color="auto" w:fill="FFFFFF"/>
        <w:spacing w:line="560" w:lineRule="exact"/>
        <w:jc w:val="left"/>
        <w:rPr>
          <w:rFonts w:hint="eastAsia" w:ascii="宋体" w:hAnsi="宋体" w:cs="宋体"/>
          <w:color w:val="333333"/>
          <w:kern w:val="0"/>
          <w:szCs w:val="21"/>
        </w:rPr>
      </w:pPr>
      <w:r>
        <w:rPr>
          <w:color w:val="333333"/>
          <w:kern w:val="0"/>
          <w:sz w:val="32"/>
          <w:szCs w:val="32"/>
        </w:rPr>
        <w:t> </w:t>
      </w:r>
    </w:p>
    <w:p>
      <w:pPr>
        <w:widowControl/>
        <w:shd w:val="clear" w:color="auto" w:fill="FFFFFF"/>
        <w:spacing w:line="600" w:lineRule="exact"/>
        <w:ind w:firstLine="640"/>
        <w:jc w:val="left"/>
        <w:rPr>
          <w:rFonts w:hint="eastAsia" w:ascii="黑体" w:eastAsia="黑体"/>
          <w:color w:val="333333"/>
          <w:kern w:val="0"/>
          <w:sz w:val="32"/>
          <w:szCs w:val="32"/>
        </w:rPr>
      </w:pPr>
      <w:r>
        <w:rPr>
          <w:rFonts w:ascii="黑体" w:eastAsia="黑体"/>
          <w:color w:val="333333"/>
          <w:kern w:val="0"/>
          <w:sz w:val="32"/>
          <w:szCs w:val="32"/>
        </w:rPr>
        <w:t>一、</w:t>
      </w:r>
      <w:r>
        <w:rPr>
          <w:rFonts w:hint="eastAsia" w:ascii="黑体" w:eastAsia="黑体"/>
          <w:color w:val="333333"/>
          <w:kern w:val="0"/>
          <w:sz w:val="32"/>
          <w:szCs w:val="32"/>
        </w:rPr>
        <w:t>部门</w:t>
      </w:r>
      <w:r>
        <w:rPr>
          <w:rFonts w:ascii="黑体" w:eastAsia="黑体"/>
          <w:color w:val="333333"/>
          <w:kern w:val="0"/>
          <w:sz w:val="32"/>
          <w:szCs w:val="32"/>
        </w:rPr>
        <w:t>概况</w:t>
      </w:r>
    </w:p>
    <w:p>
      <w:pPr>
        <w:widowControl/>
        <w:shd w:val="clear" w:color="auto" w:fill="FFFFFF"/>
        <w:spacing w:line="600" w:lineRule="exact"/>
        <w:ind w:firstLine="643"/>
        <w:jc w:val="left"/>
        <w:rPr>
          <w:rFonts w:hint="eastAsia" w:ascii="楷体" w:eastAsia="楷体" w:cs="宋体"/>
          <w:bCs/>
          <w:color w:val="000000"/>
          <w:kern w:val="0"/>
          <w:sz w:val="32"/>
          <w:szCs w:val="32"/>
        </w:rPr>
      </w:pPr>
      <w:r>
        <w:rPr>
          <w:rFonts w:hint="eastAsia" w:ascii="宋体" w:hAnsi="宋体" w:cs="宋体"/>
          <w:b/>
          <w:bCs/>
          <w:color w:val="000000"/>
          <w:kern w:val="0"/>
          <w:sz w:val="30"/>
          <w:szCs w:val="30"/>
        </w:rPr>
        <w:t>（一）</w:t>
      </w:r>
      <w:r>
        <w:rPr>
          <w:rFonts w:hint="eastAsia" w:ascii="楷体" w:eastAsia="楷体" w:cs="宋体"/>
          <w:bCs/>
          <w:color w:val="000000"/>
          <w:kern w:val="0"/>
          <w:sz w:val="32"/>
          <w:szCs w:val="32"/>
        </w:rPr>
        <w:t>机构设置和人员情况</w:t>
      </w:r>
    </w:p>
    <w:p>
      <w:pPr>
        <w:spacing w:line="220" w:lineRule="atLeast"/>
        <w:ind w:firstLine="640" w:firstLineChars="200"/>
        <w:rPr>
          <w:rFonts w:hint="eastAsia" w:ascii="仿宋" w:hAnsi="仿宋" w:eastAsia="仿宋"/>
          <w:sz w:val="32"/>
          <w:szCs w:val="32"/>
        </w:rPr>
      </w:pPr>
      <w:r>
        <w:rPr>
          <w:rFonts w:hint="eastAsia" w:ascii="仿宋" w:hAnsi="仿宋" w:eastAsia="仿宋"/>
          <w:sz w:val="32"/>
          <w:szCs w:val="32"/>
        </w:rPr>
        <w:t>沅江市看守所（新所）</w:t>
      </w:r>
      <w:r>
        <w:rPr>
          <w:rFonts w:hint="eastAsia" w:ascii="仿宋" w:hAnsi="仿宋" w:eastAsia="仿宋"/>
          <w:sz w:val="32"/>
          <w:szCs w:val="32"/>
          <w:lang w:val="en-US" w:eastAsia="zh-CN"/>
        </w:rPr>
        <w:t>正式启用</w:t>
      </w:r>
      <w:r>
        <w:rPr>
          <w:rFonts w:hint="eastAsia" w:ascii="仿宋" w:hAnsi="仿宋" w:eastAsia="仿宋"/>
          <w:sz w:val="32"/>
          <w:szCs w:val="32"/>
        </w:rPr>
        <w:t>于2020年11月。当前看守所正式民警1</w:t>
      </w:r>
      <w:r>
        <w:rPr>
          <w:rFonts w:hint="eastAsia" w:ascii="仿宋" w:hAnsi="仿宋" w:eastAsia="仿宋"/>
          <w:sz w:val="32"/>
          <w:szCs w:val="32"/>
          <w:lang w:val="en-US" w:eastAsia="zh-CN"/>
        </w:rPr>
        <w:t>7</w:t>
      </w:r>
      <w:r>
        <w:rPr>
          <w:rFonts w:hint="eastAsia" w:ascii="仿宋" w:hAnsi="仿宋" w:eastAsia="仿宋"/>
          <w:sz w:val="32"/>
          <w:szCs w:val="32"/>
        </w:rPr>
        <w:t>人，职工1人，辅警12人，临聘人员15人，驻所医生、护士共计4人。</w:t>
      </w:r>
    </w:p>
    <w:p>
      <w:pPr>
        <w:spacing w:line="220" w:lineRule="atLeast"/>
        <w:ind w:firstLine="640" w:firstLineChars="200"/>
        <w:rPr>
          <w:rFonts w:ascii="仿宋" w:hAnsi="仿宋" w:eastAsia="仿宋"/>
          <w:sz w:val="32"/>
          <w:szCs w:val="32"/>
        </w:rPr>
      </w:pPr>
      <w:r>
        <w:rPr>
          <w:rFonts w:hint="eastAsia" w:ascii="仿宋" w:hAnsi="仿宋" w:eastAsia="仿宋"/>
          <w:sz w:val="32"/>
          <w:szCs w:val="32"/>
        </w:rPr>
        <w:t>20</w:t>
      </w:r>
      <w:r>
        <w:rPr>
          <w:rFonts w:hint="eastAsia" w:ascii="仿宋" w:hAnsi="仿宋" w:eastAsia="仿宋"/>
          <w:sz w:val="32"/>
          <w:szCs w:val="32"/>
          <w:lang w:val="en-US" w:eastAsia="zh-CN"/>
        </w:rPr>
        <w:t>21</w:t>
      </w:r>
      <w:r>
        <w:rPr>
          <w:rFonts w:hint="eastAsia" w:ascii="仿宋" w:hAnsi="仿宋" w:eastAsia="仿宋"/>
          <w:sz w:val="32"/>
          <w:szCs w:val="32"/>
        </w:rPr>
        <w:t>年工作以来，沅江市看守所在省厅、益阳市局监管部门的精心指导下，仅仅围绕保监所安全为核心，深入推进看守所“五化建设”、法治文明窗口建设，全面提升监管工作水平，确保监所安全。</w:t>
      </w:r>
    </w:p>
    <w:p>
      <w:pPr>
        <w:widowControl/>
        <w:shd w:val="clear" w:color="auto" w:fill="FFFFFF"/>
        <w:spacing w:line="600" w:lineRule="exact"/>
        <w:ind w:firstLine="643"/>
        <w:jc w:val="left"/>
        <w:rPr>
          <w:rFonts w:hint="eastAsia" w:ascii="宋体" w:hAnsi="宋体" w:cs="宋体"/>
          <w:b/>
          <w:bCs/>
          <w:color w:val="000000"/>
          <w:kern w:val="0"/>
          <w:sz w:val="30"/>
          <w:szCs w:val="30"/>
        </w:rPr>
      </w:pPr>
      <w:r>
        <w:rPr>
          <w:rFonts w:hint="eastAsia" w:ascii="宋体" w:hAnsi="宋体" w:cs="宋体"/>
          <w:b/>
          <w:bCs/>
          <w:color w:val="000000"/>
          <w:kern w:val="0"/>
          <w:sz w:val="30"/>
          <w:szCs w:val="30"/>
        </w:rPr>
        <w:t>（二）主要职责</w:t>
      </w:r>
    </w:p>
    <w:p>
      <w:pPr>
        <w:snapToGrid w:val="0"/>
        <w:spacing w:line="600" w:lineRule="exact"/>
        <w:ind w:firstLine="640" w:firstLineChars="200"/>
        <w:rPr>
          <w:rFonts w:hint="eastAsia" w:ascii="仿宋_GB2312" w:eastAsia="仿宋_GB2312"/>
          <w:sz w:val="32"/>
        </w:rPr>
      </w:pPr>
      <w:r>
        <w:rPr>
          <w:rFonts w:ascii="仿宋_GB2312" w:eastAsia="仿宋_GB2312"/>
          <w:sz w:val="32"/>
        </w:rPr>
        <w:t>看守所是对罪犯和重大犯罪嫌疑分子临时羁押的场所。被判处有期徒刑一年以下，或者余刑在一年以下，不便送往</w:t>
      </w:r>
      <w:r>
        <w:rPr>
          <w:rFonts w:ascii="仿宋_GB2312" w:eastAsia="仿宋_GB2312"/>
          <w:sz w:val="32"/>
        </w:rPr>
        <w:fldChar w:fldCharType="begin"/>
      </w:r>
      <w:r>
        <w:rPr>
          <w:rFonts w:ascii="仿宋_GB2312" w:eastAsia="仿宋_GB2312"/>
          <w:sz w:val="32"/>
        </w:rPr>
        <w:instrText xml:space="preserve"> HYPERLINK "https://baike.sogou.com/lemma/ShowInnerLink.htm?lemmaId=167760503&amp;ss_c=ssc.citiao.link" \t "_blank" </w:instrText>
      </w:r>
      <w:r>
        <w:rPr>
          <w:rFonts w:ascii="仿宋_GB2312" w:eastAsia="仿宋_GB2312"/>
          <w:sz w:val="32"/>
        </w:rPr>
        <w:fldChar w:fldCharType="separate"/>
      </w:r>
      <w:r>
        <w:rPr>
          <w:rFonts w:ascii="仿宋_GB2312" w:eastAsia="仿宋_GB2312"/>
          <w:sz w:val="32"/>
        </w:rPr>
        <w:t>劳动改造场所</w:t>
      </w:r>
      <w:r>
        <w:rPr>
          <w:rFonts w:ascii="仿宋_GB2312" w:eastAsia="仿宋_GB2312"/>
          <w:sz w:val="32"/>
        </w:rPr>
        <w:fldChar w:fldCharType="end"/>
      </w:r>
      <w:r>
        <w:rPr>
          <w:rFonts w:ascii="仿宋_GB2312" w:eastAsia="仿宋_GB2312"/>
          <w:sz w:val="32"/>
        </w:rPr>
        <w:t>执行的罪犯，也可以由看守所监管。看守所的任务是依据国家法律对被羁押的人犯实行武装警戒看守，保障安全；对人犯进行教育；管理人犯的生活和卫生；保障侦查、以免犯罪人嫌疑人逃跑、起诉和审判工作的顺利进行。</w:t>
      </w:r>
    </w:p>
    <w:p>
      <w:pPr>
        <w:snapToGrid w:val="0"/>
        <w:spacing w:line="600" w:lineRule="exact"/>
        <w:ind w:firstLine="640" w:firstLineChars="200"/>
        <w:rPr>
          <w:rFonts w:hint="eastAsia" w:ascii="仿宋_GB2312" w:eastAsia="仿宋_GB2312"/>
          <w:sz w:val="32"/>
        </w:rPr>
      </w:pPr>
      <w:r>
        <w:rPr>
          <w:rFonts w:hint="eastAsia" w:ascii="仿宋_GB2312" w:eastAsia="仿宋_GB2312"/>
          <w:sz w:val="32"/>
        </w:rPr>
        <w:t>具体分工：</w:t>
      </w:r>
    </w:p>
    <w:p>
      <w:pPr>
        <w:snapToGrid w:val="0"/>
        <w:spacing w:line="600" w:lineRule="exact"/>
        <w:ind w:firstLine="640" w:firstLineChars="200"/>
        <w:rPr>
          <w:rFonts w:hint="eastAsia" w:ascii="仿宋_GB2312" w:eastAsia="仿宋_GB2312"/>
          <w:sz w:val="32"/>
        </w:rPr>
      </w:pPr>
      <w:r>
        <w:rPr>
          <w:rFonts w:hint="eastAsia" w:ascii="仿宋_GB2312" w:eastAsia="仿宋_GB2312"/>
          <w:sz w:val="32"/>
        </w:rPr>
        <w:t>所长职责：</w:t>
      </w:r>
      <w:r>
        <w:rPr>
          <w:rFonts w:ascii="仿宋_GB2312" w:eastAsia="仿宋_GB2312"/>
          <w:sz w:val="32"/>
        </w:rPr>
        <w:t>1、</w:t>
      </w:r>
      <w:r>
        <w:rPr>
          <w:rFonts w:hint="eastAsia" w:ascii="仿宋_GB2312" w:eastAsia="仿宋_GB2312"/>
          <w:sz w:val="32"/>
        </w:rPr>
        <w:t>负责看守所全面工作，组织执行监管工作方针、政策、法规和规章。2、根据国家法律、法规、政策、规章和上级要求，制定全所工作计划。3、按照看守所等级化管理和执法细则要求，组织开展日常工作。4、组织开展安全防范工作，主持召开所务会、狱情动态分析会和3会。5、审签请示、报告、统计报表等上报材料，审批械具与枪支的使用、经费的开支等重要事项。</w:t>
      </w:r>
    </w:p>
    <w:p>
      <w:pPr>
        <w:snapToGrid w:val="0"/>
        <w:spacing w:line="600" w:lineRule="exact"/>
        <w:ind w:firstLine="640" w:firstLineChars="200"/>
        <w:rPr>
          <w:rFonts w:hint="eastAsia" w:ascii="仿宋_GB2312" w:eastAsia="仿宋_GB2312"/>
          <w:sz w:val="32"/>
        </w:rPr>
      </w:pPr>
      <w:r>
        <w:rPr>
          <w:rFonts w:hint="eastAsia" w:ascii="仿宋_GB2312" w:eastAsia="仿宋_GB2312"/>
          <w:sz w:val="32"/>
        </w:rPr>
        <w:t>教导员职责：1、协助所长具体负责民警队伍建设，抓好民警队伍的政治思想工作和党团组织建设。2、组织开展政治理论学习和实施民警岗位目标考核及教育培训工作。</w:t>
      </w:r>
    </w:p>
    <w:p>
      <w:pPr>
        <w:snapToGrid w:val="0"/>
        <w:spacing w:line="600" w:lineRule="exact"/>
        <w:ind w:firstLine="640" w:firstLineChars="200"/>
        <w:rPr>
          <w:rFonts w:hint="eastAsia" w:ascii="仿宋_GB2312" w:eastAsia="仿宋_GB2312"/>
          <w:sz w:val="32"/>
        </w:rPr>
      </w:pPr>
      <w:r>
        <w:rPr>
          <w:rFonts w:hint="eastAsia" w:ascii="仿宋_GB2312" w:eastAsia="仿宋_GB2312"/>
          <w:sz w:val="32"/>
        </w:rPr>
        <w:t>综合岗位职责：、</w:t>
      </w:r>
    </w:p>
    <w:p>
      <w:pPr>
        <w:snapToGrid w:val="0"/>
        <w:spacing w:line="600" w:lineRule="exact"/>
        <w:ind w:firstLine="640" w:firstLineChars="200"/>
        <w:rPr>
          <w:rFonts w:hint="eastAsia" w:ascii="仿宋_GB2312" w:eastAsia="仿宋_GB2312"/>
          <w:sz w:val="32"/>
        </w:rPr>
      </w:pPr>
      <w:r>
        <w:rPr>
          <w:rFonts w:hint="eastAsia" w:ascii="仿宋_GB2312" w:eastAsia="仿宋_GB2312"/>
          <w:sz w:val="32"/>
        </w:rPr>
        <w:t>1、</w:t>
      </w:r>
      <w:r>
        <w:rPr>
          <w:rFonts w:ascii="仿宋_GB2312" w:eastAsia="仿宋_GB2312"/>
          <w:sz w:val="32"/>
        </w:rPr>
        <w:t>对在押人员有实行看管、教育、押解、组织劳动、生活及卫生管理、检查携带物品、查阅来往信件、监视接见等权利。</w:t>
      </w:r>
    </w:p>
    <w:p>
      <w:pPr>
        <w:snapToGrid w:val="0"/>
        <w:spacing w:line="600" w:lineRule="exact"/>
        <w:ind w:firstLine="640" w:firstLineChars="200"/>
        <w:rPr>
          <w:rFonts w:hint="eastAsia" w:ascii="仿宋_GB2312" w:eastAsia="仿宋_GB2312"/>
          <w:sz w:val="32"/>
        </w:rPr>
      </w:pPr>
      <w:r>
        <w:rPr>
          <w:rFonts w:ascii="仿宋_GB2312" w:eastAsia="仿宋_GB2312"/>
          <w:sz w:val="32"/>
        </w:rPr>
        <w:t>2、对在押人员违反监规的，有权对其进行批评教育，责令反省。以图谋行凶、逃跑、自杀等严重影响监所安全的在押人员有权加載械具。</w:t>
      </w:r>
    </w:p>
    <w:p>
      <w:pPr>
        <w:snapToGrid w:val="0"/>
        <w:spacing w:line="600" w:lineRule="exact"/>
        <w:ind w:firstLine="640" w:firstLineChars="200"/>
        <w:rPr>
          <w:rFonts w:hint="eastAsia" w:ascii="仿宋_GB2312" w:eastAsia="仿宋_GB2312"/>
          <w:sz w:val="32"/>
        </w:rPr>
      </w:pPr>
      <w:r>
        <w:rPr>
          <w:rFonts w:ascii="仿宋_GB2312" w:eastAsia="仿宋_GB2312"/>
          <w:sz w:val="32"/>
        </w:rPr>
        <w:t>3、看守所对犯罪嫌疑人、实行人的法定羁押期限即将到期而案件未审理终结的，有权通知办案机关迅速审结；超过法定羁押期限的，有权将情况报告人民检察院。</w:t>
      </w:r>
    </w:p>
    <w:p>
      <w:pPr>
        <w:snapToGrid w:val="0"/>
        <w:spacing w:line="600" w:lineRule="exact"/>
        <w:ind w:firstLine="640" w:firstLineChars="200"/>
        <w:rPr>
          <w:rFonts w:ascii="仿宋_GB2312" w:eastAsia="仿宋_GB2312"/>
          <w:sz w:val="32"/>
        </w:rPr>
      </w:pPr>
      <w:r>
        <w:rPr>
          <w:rFonts w:ascii="仿宋_GB2312" w:eastAsia="仿宋_GB2312"/>
          <w:sz w:val="32"/>
        </w:rPr>
        <w:t>4、在执行职务中，发现司法工作人员对犯罪嫌疑人、被告人、罪犯有刑讯逼供或其他违法行为时，有权当面制止，并直接向有关机关和检察院报告。</w:t>
      </w:r>
    </w:p>
    <w:p>
      <w:pPr>
        <w:widowControl/>
        <w:shd w:val="clear" w:color="auto" w:fill="FFFFFF"/>
        <w:spacing w:line="600" w:lineRule="atLeast"/>
        <w:ind w:firstLine="640"/>
        <w:jc w:val="left"/>
        <w:rPr>
          <w:rFonts w:ascii="黑体" w:eastAsia="黑体" w:cs="宋体"/>
          <w:color w:val="333333"/>
          <w:kern w:val="0"/>
          <w:sz w:val="32"/>
          <w:szCs w:val="32"/>
        </w:rPr>
      </w:pPr>
      <w:r>
        <w:rPr>
          <w:rFonts w:hint="eastAsia" w:ascii="黑体" w:eastAsia="黑体"/>
          <w:color w:val="333333"/>
          <w:kern w:val="0"/>
          <w:sz w:val="32"/>
          <w:szCs w:val="32"/>
        </w:rPr>
        <w:t>二、</w:t>
      </w:r>
      <w:r>
        <w:rPr>
          <w:rFonts w:hint="eastAsia" w:ascii="黑体" w:eastAsia="黑体" w:cs="宋体"/>
          <w:color w:val="333333"/>
          <w:kern w:val="0"/>
          <w:sz w:val="32"/>
          <w:szCs w:val="32"/>
        </w:rPr>
        <w:t>部门整体支出管理及</w:t>
      </w:r>
      <w:r>
        <w:rPr>
          <w:rFonts w:hint="eastAsia" w:ascii="黑体" w:eastAsia="黑体"/>
          <w:color w:val="333333"/>
          <w:kern w:val="0"/>
          <w:sz w:val="32"/>
          <w:szCs w:val="32"/>
        </w:rPr>
        <w:t>使用情况</w:t>
      </w:r>
    </w:p>
    <w:p>
      <w:pPr>
        <w:pStyle w:val="5"/>
        <w:shd w:val="clear" w:color="auto" w:fill="FFFFFF"/>
        <w:spacing w:before="0" w:beforeAutospacing="0" w:after="0" w:afterAutospacing="0"/>
        <w:ind w:firstLine="795"/>
        <w:rPr>
          <w:rFonts w:ascii="楷体" w:hAnsi="Times New Roman" w:eastAsia="楷体"/>
          <w:b/>
          <w:bCs/>
          <w:color w:val="333333"/>
          <w:sz w:val="32"/>
          <w:szCs w:val="32"/>
        </w:rPr>
      </w:pPr>
      <w:r>
        <w:rPr>
          <w:rFonts w:hint="eastAsia" w:ascii="楷体" w:hAnsi="Times New Roman" w:eastAsia="楷体"/>
          <w:b/>
          <w:bCs/>
          <w:color w:val="333333"/>
          <w:sz w:val="32"/>
          <w:szCs w:val="32"/>
        </w:rPr>
        <w:t>（一）部门工作完成情况</w:t>
      </w:r>
    </w:p>
    <w:p>
      <w:pPr>
        <w:widowControl/>
        <w:shd w:val="clear" w:color="auto" w:fill="FFFFFF"/>
        <w:spacing w:line="600" w:lineRule="atLeast"/>
        <w:ind w:firstLine="640"/>
        <w:jc w:val="left"/>
        <w:rPr>
          <w:rFonts w:ascii="仿宋_GB2312" w:eastAsia="仿宋_GB2312" w:cs="宋体"/>
          <w:sz w:val="32"/>
          <w:szCs w:val="32"/>
        </w:rPr>
      </w:pPr>
      <w:r>
        <w:rPr>
          <w:rFonts w:hint="eastAsia" w:ascii="仿宋_GB2312" w:eastAsia="仿宋_GB2312"/>
          <w:sz w:val="32"/>
        </w:rPr>
        <w:t>我所在20</w:t>
      </w:r>
      <w:r>
        <w:rPr>
          <w:rFonts w:hint="eastAsia" w:ascii="仿宋_GB2312" w:eastAsia="仿宋_GB2312"/>
          <w:sz w:val="32"/>
          <w:lang w:val="en-US" w:eastAsia="zh-CN"/>
        </w:rPr>
        <w:t>21</w:t>
      </w:r>
      <w:r>
        <w:rPr>
          <w:rFonts w:hint="eastAsia" w:ascii="仿宋_GB2312" w:eastAsia="仿宋_GB2312"/>
          <w:sz w:val="32"/>
        </w:rPr>
        <w:t>年按照市财政局要求开展了预算绩效管理工作，成立了以所长为组长、分管财务副所长及具体工作人员为成员的预算绩效管理工作小组，为预算绩效管理工作开展提供了组织保障，其次，参照《沅江市看守所财务管理办法》、《看守所经费开支范围和管理办法的规定》、《沅江市看守所内部控制规范》等相关制度规定，为实施预算绩效管理提供了制度保障，同时结合我所实际工作实施情况拟定管理计划，明确实施方式，确定管理的目的、内容、任务的时间以及要求等情况，开展预算绩效实施工作方案，制定了工作目标及完成时间，加大对预算绩效的运行、实施的管理情况和监督力度。及时组织绩效自评工作，了解资金使用是否达到了预算目标、资金管理是否规范、检验资金支出效率和效果等。</w:t>
      </w:r>
      <w:r>
        <w:rPr>
          <w:rFonts w:hint="eastAsia" w:ascii="仿宋_GB2312" w:eastAsia="仿宋_GB2312" w:cs="宋体"/>
          <w:sz w:val="32"/>
          <w:szCs w:val="32"/>
        </w:rPr>
        <w:t>我所基本支出主要用于保障在押人员在羁押期间的人身健康安全，维持看守所基本运转，履行其部门主要职责而发生的各项支出，经费的开支主要包括基本工资、津贴补贴、奖金、社会保障缴费、离退休费、抚恤费、住房公积金、办公费、印刷费、差旅费、维修（护）费等日常公用经费等支出。</w:t>
      </w:r>
    </w:p>
    <w:p>
      <w:pPr>
        <w:pStyle w:val="5"/>
        <w:shd w:val="clear" w:color="auto" w:fill="FFFFFF"/>
        <w:spacing w:before="0" w:beforeAutospacing="0" w:after="0" w:afterAutospacing="0"/>
        <w:ind w:firstLine="470" w:firstLineChars="147"/>
        <w:rPr>
          <w:rFonts w:hint="eastAsia" w:ascii="楷体" w:hAnsi="Times New Roman" w:eastAsia="楷体"/>
          <w:b/>
          <w:bCs/>
          <w:color w:val="333333"/>
          <w:sz w:val="32"/>
          <w:szCs w:val="32"/>
        </w:rPr>
      </w:pPr>
      <w:r>
        <w:rPr>
          <w:rFonts w:hint="eastAsia" w:ascii="楷体" w:hAnsi="Times New Roman" w:eastAsia="楷体"/>
          <w:b/>
          <w:bCs/>
          <w:color w:val="333333"/>
          <w:sz w:val="32"/>
          <w:szCs w:val="32"/>
        </w:rPr>
        <w:t>（二）部门资金来源及使用情况</w:t>
      </w:r>
    </w:p>
    <w:p>
      <w:pPr>
        <w:widowControl/>
        <w:shd w:val="clear" w:color="auto" w:fill="FFFFFF"/>
        <w:spacing w:line="560" w:lineRule="exact"/>
        <w:ind w:firstLine="643"/>
        <w:jc w:val="left"/>
        <w:rPr>
          <w:rFonts w:hint="eastAsia" w:ascii="宋体" w:hAnsi="宋体" w:cs="宋体"/>
          <w:color w:val="333333"/>
          <w:kern w:val="0"/>
          <w:sz w:val="30"/>
          <w:szCs w:val="30"/>
        </w:rPr>
      </w:pPr>
      <w:r>
        <w:rPr>
          <w:rFonts w:hint="eastAsia" w:ascii="宋体" w:hAnsi="宋体" w:cs="宋体"/>
          <w:b/>
          <w:bCs/>
          <w:color w:val="333333"/>
          <w:kern w:val="0"/>
          <w:sz w:val="30"/>
          <w:szCs w:val="30"/>
        </w:rPr>
        <w:t>（一）基本支出</w:t>
      </w:r>
    </w:p>
    <w:p>
      <w:pPr>
        <w:spacing w:line="560" w:lineRule="exact"/>
        <w:ind w:firstLine="600" w:firstLineChars="200"/>
        <w:rPr>
          <w:rFonts w:hint="default" w:ascii="宋体" w:hAnsi="宋体" w:eastAsia="宋体" w:cs="仿宋_GB2312"/>
          <w:sz w:val="30"/>
          <w:szCs w:val="30"/>
          <w:lang w:val="en-US" w:eastAsia="zh-CN"/>
        </w:rPr>
      </w:pPr>
      <w:r>
        <w:rPr>
          <w:rFonts w:hint="eastAsia" w:ascii="宋体" w:hAnsi="宋体" w:cs="宋体"/>
          <w:color w:val="333333"/>
          <w:kern w:val="0"/>
          <w:sz w:val="30"/>
          <w:szCs w:val="30"/>
        </w:rPr>
        <w:t>20</w:t>
      </w:r>
      <w:r>
        <w:rPr>
          <w:rFonts w:hint="eastAsia" w:ascii="宋体" w:hAnsi="宋体" w:cs="宋体"/>
          <w:color w:val="333333"/>
          <w:kern w:val="0"/>
          <w:sz w:val="30"/>
          <w:szCs w:val="30"/>
          <w:lang w:val="en-US" w:eastAsia="zh-CN"/>
        </w:rPr>
        <w:t>21</w:t>
      </w:r>
      <w:r>
        <w:rPr>
          <w:rFonts w:hint="eastAsia" w:ascii="宋体" w:hAnsi="宋体" w:cs="宋体"/>
          <w:color w:val="333333"/>
          <w:kern w:val="0"/>
          <w:sz w:val="30"/>
          <w:szCs w:val="30"/>
        </w:rPr>
        <w:t>年我</w:t>
      </w:r>
      <w:r>
        <w:rPr>
          <w:rFonts w:hint="eastAsia" w:ascii="宋体" w:hAnsi="宋体" w:cs="宋体"/>
          <w:color w:val="333333"/>
          <w:kern w:val="0"/>
          <w:sz w:val="30"/>
          <w:szCs w:val="30"/>
          <w:lang w:val="en-US" w:eastAsia="zh-CN"/>
        </w:rPr>
        <w:t>所</w:t>
      </w:r>
      <w:r>
        <w:rPr>
          <w:rFonts w:hint="eastAsia" w:ascii="宋体" w:hAnsi="宋体"/>
          <w:sz w:val="30"/>
          <w:szCs w:val="30"/>
        </w:rPr>
        <w:t>基本支出：</w:t>
      </w:r>
      <w:r>
        <w:rPr>
          <w:rFonts w:hint="eastAsia" w:ascii="宋体" w:hAnsi="宋体"/>
          <w:sz w:val="30"/>
          <w:szCs w:val="30"/>
          <w:lang w:val="en-US" w:eastAsia="zh-CN"/>
        </w:rPr>
        <w:t>388.485</w:t>
      </w:r>
      <w:r>
        <w:rPr>
          <w:rFonts w:hint="eastAsia" w:ascii="宋体" w:hAnsi="宋体"/>
          <w:sz w:val="30"/>
          <w:szCs w:val="30"/>
        </w:rPr>
        <w:t>万元（工资福利支出：</w:t>
      </w:r>
      <w:r>
        <w:rPr>
          <w:rFonts w:hint="eastAsia" w:ascii="宋体" w:hAnsi="宋体"/>
          <w:sz w:val="30"/>
          <w:szCs w:val="30"/>
          <w:lang w:val="en-US" w:eastAsia="zh-CN"/>
        </w:rPr>
        <w:t>330.144</w:t>
      </w:r>
      <w:r>
        <w:rPr>
          <w:rFonts w:hint="eastAsia" w:ascii="宋体" w:hAnsi="宋体"/>
          <w:sz w:val="30"/>
          <w:szCs w:val="30"/>
        </w:rPr>
        <w:t>万元，一般商品和服务支出：</w:t>
      </w:r>
      <w:r>
        <w:rPr>
          <w:rFonts w:hint="eastAsia" w:ascii="宋体" w:hAnsi="宋体"/>
          <w:sz w:val="30"/>
          <w:szCs w:val="30"/>
          <w:lang w:val="en-US" w:eastAsia="zh-CN"/>
        </w:rPr>
        <w:t>57.041</w:t>
      </w:r>
      <w:r>
        <w:rPr>
          <w:rFonts w:hint="eastAsia" w:ascii="宋体" w:hAnsi="宋体"/>
          <w:sz w:val="30"/>
          <w:szCs w:val="30"/>
        </w:rPr>
        <w:t>万元，对个人和家庭补助支出</w:t>
      </w:r>
      <w:r>
        <w:rPr>
          <w:rFonts w:hint="eastAsia" w:ascii="宋体" w:hAnsi="宋体"/>
          <w:sz w:val="30"/>
          <w:szCs w:val="30"/>
          <w:lang w:val="en-US" w:eastAsia="zh-CN"/>
        </w:rPr>
        <w:t>0</w:t>
      </w:r>
      <w:r>
        <w:rPr>
          <w:rFonts w:hint="eastAsia" w:ascii="宋体" w:hAnsi="宋体"/>
          <w:sz w:val="30"/>
          <w:szCs w:val="30"/>
        </w:rPr>
        <w:t>万元，资本性支出</w:t>
      </w:r>
      <w:r>
        <w:rPr>
          <w:rFonts w:hint="eastAsia" w:ascii="宋体" w:hAnsi="宋体"/>
          <w:sz w:val="30"/>
          <w:szCs w:val="30"/>
          <w:lang w:val="en-US" w:eastAsia="zh-CN"/>
        </w:rPr>
        <w:t>1.300</w:t>
      </w:r>
      <w:r>
        <w:rPr>
          <w:rFonts w:hint="eastAsia" w:ascii="宋体" w:hAnsi="宋体"/>
          <w:sz w:val="30"/>
          <w:szCs w:val="30"/>
        </w:rPr>
        <w:t>万元）。</w:t>
      </w:r>
      <w:r>
        <w:rPr>
          <w:rFonts w:hint="eastAsia" w:ascii="宋体" w:hAnsi="宋体" w:cs="仿宋_GB2312"/>
          <w:sz w:val="30"/>
          <w:szCs w:val="30"/>
        </w:rPr>
        <w:t>基本支出</w:t>
      </w:r>
      <w:r>
        <w:rPr>
          <w:rFonts w:hint="eastAsia" w:ascii="宋体" w:hAnsi="宋体" w:cs="仿宋_GB2312"/>
          <w:sz w:val="30"/>
          <w:szCs w:val="30"/>
          <w:lang w:val="en-US" w:eastAsia="zh-CN"/>
        </w:rPr>
        <w:t>增加的原因是工资调标及搬新所后物业费及杂费增多。</w:t>
      </w:r>
    </w:p>
    <w:p>
      <w:pPr>
        <w:widowControl/>
        <w:shd w:val="clear" w:color="auto" w:fill="FFFFFF"/>
        <w:spacing w:line="560" w:lineRule="exact"/>
        <w:ind w:firstLine="640"/>
        <w:jc w:val="left"/>
        <w:rPr>
          <w:rFonts w:hint="default" w:ascii="宋体" w:hAnsi="宋体" w:eastAsia="宋体" w:cs="宋体"/>
          <w:color w:val="333333"/>
          <w:kern w:val="0"/>
          <w:sz w:val="30"/>
          <w:szCs w:val="30"/>
          <w:lang w:val="en-US" w:eastAsia="zh-CN"/>
        </w:rPr>
      </w:pPr>
      <w:r>
        <w:rPr>
          <w:rFonts w:hint="eastAsia" w:ascii="宋体" w:hAnsi="宋体" w:cs="宋体"/>
          <w:color w:val="333333"/>
          <w:kern w:val="0"/>
          <w:sz w:val="30"/>
          <w:szCs w:val="30"/>
        </w:rPr>
        <w:t>20</w:t>
      </w:r>
      <w:r>
        <w:rPr>
          <w:rFonts w:hint="eastAsia" w:ascii="宋体" w:hAnsi="宋体" w:cs="宋体"/>
          <w:color w:val="333333"/>
          <w:kern w:val="0"/>
          <w:sz w:val="30"/>
          <w:szCs w:val="30"/>
          <w:lang w:val="en-US" w:eastAsia="zh-CN"/>
        </w:rPr>
        <w:t>21</w:t>
      </w:r>
      <w:r>
        <w:rPr>
          <w:rFonts w:hint="eastAsia" w:ascii="宋体" w:hAnsi="宋体" w:cs="宋体"/>
          <w:color w:val="333333"/>
          <w:kern w:val="0"/>
          <w:sz w:val="30"/>
          <w:szCs w:val="30"/>
        </w:rPr>
        <w:t>年我大队“三公”经费支出</w:t>
      </w:r>
      <w:r>
        <w:rPr>
          <w:rFonts w:hint="eastAsia" w:ascii="宋体" w:hAnsi="宋体"/>
          <w:color w:val="333333"/>
          <w:kern w:val="0"/>
          <w:sz w:val="30"/>
          <w:szCs w:val="30"/>
          <w:lang w:val="en-US" w:eastAsia="zh-CN"/>
        </w:rPr>
        <w:t>1.052</w:t>
      </w:r>
      <w:r>
        <w:rPr>
          <w:rFonts w:hint="eastAsia" w:ascii="宋体" w:hAnsi="宋体" w:cs="宋体"/>
          <w:color w:val="333333"/>
          <w:kern w:val="0"/>
          <w:sz w:val="30"/>
          <w:szCs w:val="30"/>
        </w:rPr>
        <w:t>万元，其中：公务接待经费</w:t>
      </w:r>
      <w:r>
        <w:rPr>
          <w:rFonts w:hint="eastAsia" w:ascii="宋体" w:hAnsi="宋体"/>
          <w:color w:val="333333"/>
          <w:kern w:val="0"/>
          <w:sz w:val="30"/>
          <w:szCs w:val="30"/>
        </w:rPr>
        <w:t>0</w:t>
      </w:r>
      <w:r>
        <w:rPr>
          <w:rFonts w:hint="eastAsia" w:ascii="宋体" w:hAnsi="宋体" w:cs="宋体"/>
          <w:color w:val="333333"/>
          <w:kern w:val="0"/>
          <w:sz w:val="30"/>
          <w:szCs w:val="30"/>
        </w:rPr>
        <w:t>万元、</w:t>
      </w:r>
      <w:r>
        <w:rPr>
          <w:rFonts w:hint="eastAsia" w:ascii="宋体" w:hAnsi="宋体" w:cs="宋体"/>
          <w:color w:val="333333"/>
          <w:kern w:val="0"/>
          <w:sz w:val="30"/>
          <w:szCs w:val="30"/>
          <w:lang w:val="en-US" w:eastAsia="zh-CN"/>
        </w:rPr>
        <w:t>公务用车购置费0万元、</w:t>
      </w:r>
      <w:r>
        <w:rPr>
          <w:rFonts w:hint="eastAsia" w:ascii="宋体" w:hAnsi="宋体" w:cs="宋体"/>
          <w:color w:val="333333"/>
          <w:kern w:val="0"/>
          <w:sz w:val="30"/>
          <w:szCs w:val="30"/>
        </w:rPr>
        <w:t>公车运行及维护费用</w:t>
      </w:r>
      <w:r>
        <w:rPr>
          <w:rFonts w:hint="eastAsia" w:ascii="宋体" w:hAnsi="宋体"/>
          <w:color w:val="333333"/>
          <w:kern w:val="0"/>
          <w:sz w:val="30"/>
          <w:szCs w:val="30"/>
          <w:lang w:val="en-US" w:eastAsia="zh-CN"/>
        </w:rPr>
        <w:t>1.052</w:t>
      </w:r>
      <w:r>
        <w:rPr>
          <w:rFonts w:hint="eastAsia" w:ascii="宋体" w:hAnsi="宋体" w:cs="宋体"/>
          <w:color w:val="333333"/>
          <w:kern w:val="0"/>
          <w:sz w:val="30"/>
          <w:szCs w:val="30"/>
        </w:rPr>
        <w:t>万元。</w:t>
      </w:r>
      <w:r>
        <w:rPr>
          <w:rFonts w:hint="eastAsia" w:ascii="宋体" w:hAnsi="宋体"/>
          <w:color w:val="333333"/>
          <w:kern w:val="0"/>
          <w:sz w:val="30"/>
          <w:szCs w:val="30"/>
        </w:rPr>
        <w:t>20</w:t>
      </w:r>
      <w:r>
        <w:rPr>
          <w:rFonts w:hint="eastAsia" w:ascii="宋体" w:hAnsi="宋体"/>
          <w:color w:val="333333"/>
          <w:kern w:val="0"/>
          <w:sz w:val="30"/>
          <w:szCs w:val="30"/>
          <w:lang w:val="en-US" w:eastAsia="zh-CN"/>
        </w:rPr>
        <w:t>21</w:t>
      </w:r>
      <w:r>
        <w:rPr>
          <w:rFonts w:hint="eastAsia" w:ascii="宋体" w:hAnsi="宋体" w:cs="宋体"/>
          <w:color w:val="333333"/>
          <w:kern w:val="0"/>
          <w:sz w:val="30"/>
          <w:szCs w:val="30"/>
        </w:rPr>
        <w:t>年“三公”经费实际支出总数</w:t>
      </w:r>
      <w:r>
        <w:rPr>
          <w:rFonts w:hint="eastAsia" w:ascii="宋体" w:hAnsi="宋体" w:cs="宋体"/>
          <w:color w:val="333333"/>
          <w:kern w:val="0"/>
          <w:sz w:val="30"/>
          <w:szCs w:val="30"/>
          <w:lang w:val="en-US" w:eastAsia="zh-CN"/>
        </w:rPr>
        <w:t>比2021年略有下降，原因是疫情原因闭所公务用车频率降低。</w:t>
      </w:r>
    </w:p>
    <w:p>
      <w:pPr>
        <w:widowControl/>
        <w:shd w:val="clear" w:color="auto" w:fill="FFFFFF"/>
        <w:spacing w:line="560" w:lineRule="exact"/>
        <w:ind w:firstLine="643"/>
        <w:jc w:val="left"/>
        <w:rPr>
          <w:rFonts w:hint="eastAsia" w:ascii="宋体" w:hAnsi="宋体" w:cs="宋体"/>
          <w:color w:val="333333"/>
          <w:kern w:val="0"/>
          <w:sz w:val="30"/>
          <w:szCs w:val="30"/>
        </w:rPr>
      </w:pPr>
      <w:r>
        <w:rPr>
          <w:rFonts w:hint="eastAsia" w:ascii="宋体" w:hAnsi="宋体" w:cs="宋体"/>
          <w:b/>
          <w:bCs/>
          <w:color w:val="333333"/>
          <w:kern w:val="0"/>
          <w:sz w:val="30"/>
          <w:szCs w:val="30"/>
        </w:rPr>
        <w:t>（二）项目支出</w:t>
      </w:r>
    </w:p>
    <w:p>
      <w:pPr>
        <w:spacing w:line="560" w:lineRule="exact"/>
        <w:ind w:firstLine="600" w:firstLineChars="200"/>
        <w:rPr>
          <w:rFonts w:hint="eastAsia" w:ascii="宋体" w:hAnsi="宋体" w:eastAsia="宋体"/>
          <w:sz w:val="30"/>
          <w:szCs w:val="30"/>
          <w:lang w:eastAsia="zh-CN"/>
        </w:rPr>
      </w:pPr>
      <w:r>
        <w:rPr>
          <w:rFonts w:hint="eastAsia" w:ascii="宋体" w:hAnsi="宋体" w:cs="宋体"/>
          <w:color w:val="333333"/>
          <w:kern w:val="0"/>
          <w:sz w:val="30"/>
          <w:szCs w:val="30"/>
        </w:rPr>
        <w:t>1、</w:t>
      </w:r>
      <w:r>
        <w:rPr>
          <w:rFonts w:hint="eastAsia" w:ascii="宋体" w:hAnsi="宋体"/>
          <w:color w:val="333333"/>
          <w:kern w:val="0"/>
          <w:sz w:val="30"/>
          <w:szCs w:val="30"/>
        </w:rPr>
        <w:t>20</w:t>
      </w:r>
      <w:r>
        <w:rPr>
          <w:rFonts w:hint="eastAsia" w:ascii="宋体" w:hAnsi="宋体"/>
          <w:color w:val="333333"/>
          <w:kern w:val="0"/>
          <w:sz w:val="30"/>
          <w:szCs w:val="30"/>
          <w:lang w:val="en-US" w:eastAsia="zh-CN"/>
        </w:rPr>
        <w:t>21</w:t>
      </w:r>
      <w:r>
        <w:rPr>
          <w:rFonts w:hint="eastAsia" w:ascii="宋体" w:hAnsi="宋体" w:cs="宋体"/>
          <w:color w:val="333333"/>
          <w:kern w:val="0"/>
          <w:sz w:val="30"/>
          <w:szCs w:val="30"/>
        </w:rPr>
        <w:t>年我大队项目</w:t>
      </w:r>
      <w:r>
        <w:rPr>
          <w:rFonts w:ascii="宋体" w:hAnsi="宋体"/>
          <w:color w:val="333333"/>
          <w:kern w:val="0"/>
          <w:sz w:val="30"/>
          <w:szCs w:val="30"/>
        </w:rPr>
        <w:t>资金</w:t>
      </w:r>
      <w:r>
        <w:rPr>
          <w:rFonts w:hint="eastAsia" w:ascii="宋体" w:hAnsi="宋体" w:cs="宋体"/>
          <w:color w:val="333333"/>
          <w:kern w:val="0"/>
          <w:sz w:val="30"/>
          <w:szCs w:val="30"/>
        </w:rPr>
        <w:t>收入</w:t>
      </w:r>
      <w:r>
        <w:rPr>
          <w:rFonts w:hint="eastAsia" w:ascii="宋体" w:hAnsi="宋体"/>
          <w:sz w:val="30"/>
          <w:szCs w:val="30"/>
        </w:rPr>
        <w:t>：</w:t>
      </w:r>
      <w:r>
        <w:rPr>
          <w:rFonts w:hint="eastAsia" w:ascii="宋体" w:hAnsi="宋体"/>
          <w:sz w:val="30"/>
          <w:szCs w:val="30"/>
          <w:lang w:val="en-US" w:eastAsia="zh-CN"/>
        </w:rPr>
        <w:t>254.401</w:t>
      </w:r>
      <w:r>
        <w:rPr>
          <w:rFonts w:hint="eastAsia" w:ascii="宋体" w:hAnsi="宋体"/>
          <w:sz w:val="30"/>
          <w:szCs w:val="30"/>
        </w:rPr>
        <w:t>万元</w:t>
      </w:r>
      <w:r>
        <w:rPr>
          <w:rFonts w:hint="eastAsia" w:ascii="宋体" w:hAnsi="宋体"/>
          <w:sz w:val="30"/>
          <w:szCs w:val="30"/>
          <w:lang w:eastAsia="zh-CN"/>
        </w:rPr>
        <w:t>。</w:t>
      </w:r>
    </w:p>
    <w:p>
      <w:pPr>
        <w:widowControl/>
        <w:shd w:val="clear" w:color="auto" w:fill="FFFFFF"/>
        <w:spacing w:line="560" w:lineRule="exact"/>
        <w:ind w:firstLine="640"/>
        <w:jc w:val="left"/>
        <w:rPr>
          <w:rFonts w:hint="default" w:ascii="仿宋" w:hAnsi="仿宋" w:eastAsia="宋体"/>
          <w:sz w:val="32"/>
          <w:szCs w:val="32"/>
          <w:lang w:val="en-US" w:eastAsia="zh-CN"/>
        </w:rPr>
      </w:pPr>
      <w:r>
        <w:rPr>
          <w:rFonts w:hint="eastAsia" w:ascii="宋体" w:hAnsi="宋体" w:cs="宋体"/>
          <w:color w:val="333333"/>
          <w:kern w:val="0"/>
          <w:sz w:val="30"/>
          <w:szCs w:val="30"/>
        </w:rPr>
        <w:t>2、</w:t>
      </w:r>
      <w:r>
        <w:rPr>
          <w:rFonts w:hint="eastAsia" w:ascii="宋体" w:hAnsi="宋体"/>
          <w:color w:val="333333"/>
          <w:kern w:val="0"/>
          <w:sz w:val="30"/>
          <w:szCs w:val="30"/>
        </w:rPr>
        <w:t>20</w:t>
      </w:r>
      <w:r>
        <w:rPr>
          <w:rFonts w:hint="eastAsia" w:ascii="宋体" w:hAnsi="宋体"/>
          <w:color w:val="333333"/>
          <w:kern w:val="0"/>
          <w:sz w:val="30"/>
          <w:szCs w:val="30"/>
          <w:lang w:val="en-US" w:eastAsia="zh-CN"/>
        </w:rPr>
        <w:t>21</w:t>
      </w:r>
      <w:r>
        <w:rPr>
          <w:rFonts w:hint="eastAsia" w:ascii="宋体" w:hAnsi="宋体" w:cs="宋体"/>
          <w:color w:val="333333"/>
          <w:kern w:val="0"/>
          <w:sz w:val="30"/>
          <w:szCs w:val="30"/>
        </w:rPr>
        <w:t>年</w:t>
      </w:r>
      <w:r>
        <w:rPr>
          <w:rFonts w:hint="eastAsia" w:ascii="宋体" w:hAnsi="宋体"/>
          <w:sz w:val="30"/>
          <w:szCs w:val="30"/>
        </w:rPr>
        <w:t>我大队业务类专项支出：</w:t>
      </w:r>
      <w:r>
        <w:rPr>
          <w:rFonts w:hint="eastAsia" w:ascii="宋体" w:hAnsi="宋体"/>
          <w:sz w:val="30"/>
          <w:szCs w:val="30"/>
          <w:lang w:val="en-US" w:eastAsia="zh-CN"/>
        </w:rPr>
        <w:t>253.771</w:t>
      </w:r>
      <w:r>
        <w:rPr>
          <w:rFonts w:hint="eastAsia" w:ascii="宋体" w:hAnsi="宋体"/>
          <w:sz w:val="30"/>
          <w:szCs w:val="30"/>
        </w:rPr>
        <w:t>万元</w:t>
      </w:r>
      <w:r>
        <w:rPr>
          <w:rFonts w:hint="eastAsia" w:ascii="宋体" w:hAnsi="宋体" w:cs="仿宋_GB2312"/>
          <w:sz w:val="30"/>
          <w:szCs w:val="30"/>
        </w:rPr>
        <w:t>；项目支出增加的原因是</w:t>
      </w:r>
      <w:r>
        <w:rPr>
          <w:rFonts w:hint="eastAsia" w:ascii="宋体" w:hAnsi="宋体" w:cs="仿宋_GB2312"/>
          <w:sz w:val="30"/>
          <w:szCs w:val="30"/>
          <w:lang w:val="en-US" w:eastAsia="zh-CN"/>
        </w:rPr>
        <w:t>2021年疫情全益阳的犯罪嫌疑人全部羁押在本所</w:t>
      </w:r>
      <w:r>
        <w:rPr>
          <w:rFonts w:hint="eastAsia" w:ascii="宋体" w:hAnsi="宋体" w:cs="仿宋_GB2312"/>
          <w:sz w:val="30"/>
          <w:szCs w:val="30"/>
        </w:rPr>
        <w:t>。</w:t>
      </w:r>
      <w:r>
        <w:rPr>
          <w:rFonts w:hint="eastAsia" w:ascii="宋体" w:hAnsi="宋体" w:cs="仿宋_GB2312"/>
          <w:sz w:val="30"/>
          <w:szCs w:val="30"/>
          <w:lang w:val="en-US" w:eastAsia="zh-CN"/>
        </w:rPr>
        <w:t>项目资金有部分结余的原因是年底关账部分支出支付失败。</w:t>
      </w:r>
    </w:p>
    <w:p>
      <w:pPr>
        <w:widowControl/>
        <w:shd w:val="clear" w:color="auto" w:fill="FFFFFF"/>
        <w:spacing w:line="600" w:lineRule="atLeast"/>
        <w:ind w:firstLine="640"/>
        <w:jc w:val="left"/>
        <w:rPr>
          <w:rFonts w:hint="eastAsia" w:ascii="黑体" w:eastAsia="黑体"/>
          <w:color w:val="333333"/>
          <w:kern w:val="0"/>
          <w:sz w:val="32"/>
          <w:szCs w:val="32"/>
        </w:rPr>
      </w:pPr>
      <w:r>
        <w:rPr>
          <w:rFonts w:ascii="黑体" w:eastAsia="黑体"/>
          <w:color w:val="333333"/>
          <w:kern w:val="0"/>
          <w:sz w:val="32"/>
          <w:szCs w:val="32"/>
        </w:rPr>
        <w:t>三、</w:t>
      </w:r>
      <w:r>
        <w:rPr>
          <w:rFonts w:hint="eastAsia" w:ascii="黑体" w:eastAsia="黑体"/>
          <w:color w:val="333333"/>
          <w:kern w:val="0"/>
          <w:sz w:val="32"/>
          <w:szCs w:val="32"/>
        </w:rPr>
        <w:t>部门整体支出管理情况</w:t>
      </w:r>
    </w:p>
    <w:p>
      <w:pPr>
        <w:widowControl/>
        <w:shd w:val="clear" w:color="auto" w:fill="FFFFFF"/>
        <w:spacing w:line="560" w:lineRule="exact"/>
        <w:ind w:firstLine="640"/>
        <w:jc w:val="left"/>
        <w:rPr>
          <w:rFonts w:hint="eastAsia" w:ascii="仿宋_GB2312" w:eastAsia="仿宋_GB2312" w:cs="宋体"/>
          <w:sz w:val="32"/>
          <w:szCs w:val="32"/>
        </w:rPr>
      </w:pPr>
      <w:r>
        <w:rPr>
          <w:rFonts w:hint="eastAsia" w:ascii="仿宋_GB2312" w:eastAsia="仿宋_GB2312" w:cs="宋体"/>
          <w:sz w:val="32"/>
          <w:szCs w:val="32"/>
        </w:rPr>
        <w:t>总的来说，我所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所会议集体讨论决定。</w:t>
      </w:r>
    </w:p>
    <w:p>
      <w:pPr>
        <w:widowControl/>
        <w:shd w:val="clear" w:color="auto" w:fill="FFFFFF"/>
        <w:spacing w:line="600" w:lineRule="atLeast"/>
        <w:ind w:firstLine="640"/>
        <w:jc w:val="left"/>
        <w:rPr>
          <w:rFonts w:hint="eastAsia" w:ascii="黑体" w:eastAsia="黑体"/>
          <w:color w:val="333333"/>
          <w:kern w:val="0"/>
          <w:sz w:val="32"/>
          <w:szCs w:val="32"/>
        </w:rPr>
      </w:pPr>
      <w:r>
        <w:rPr>
          <w:rFonts w:ascii="黑体" w:eastAsia="黑体"/>
          <w:color w:val="333333"/>
          <w:kern w:val="0"/>
          <w:sz w:val="32"/>
          <w:szCs w:val="32"/>
        </w:rPr>
        <w:t>四、</w:t>
      </w:r>
      <w:r>
        <w:rPr>
          <w:rFonts w:hint="eastAsia" w:ascii="黑体" w:eastAsia="黑体"/>
          <w:color w:val="333333"/>
          <w:kern w:val="0"/>
          <w:sz w:val="32"/>
          <w:szCs w:val="32"/>
        </w:rPr>
        <w:t>部门整体支出</w:t>
      </w:r>
      <w:r>
        <w:rPr>
          <w:rFonts w:ascii="黑体" w:eastAsia="黑体"/>
          <w:color w:val="333333"/>
          <w:kern w:val="0"/>
          <w:sz w:val="32"/>
          <w:szCs w:val="32"/>
        </w:rPr>
        <w:t>绩效情况</w:t>
      </w:r>
    </w:p>
    <w:p>
      <w:pPr>
        <w:widowControl/>
        <w:shd w:val="clear" w:color="auto" w:fill="FFFFFF"/>
        <w:spacing w:line="560" w:lineRule="exact"/>
        <w:ind w:firstLine="640"/>
        <w:rPr>
          <w:rFonts w:hint="eastAsia" w:ascii="仿宋_GB2312" w:eastAsia="仿宋_GB2312" w:cs="宋体"/>
          <w:sz w:val="32"/>
          <w:szCs w:val="32"/>
        </w:rPr>
      </w:pPr>
      <w:r>
        <w:rPr>
          <w:rFonts w:hint="eastAsia" w:ascii="仿宋_GB2312" w:eastAsia="仿宋_GB2312" w:cs="宋体"/>
          <w:sz w:val="32"/>
          <w:szCs w:val="32"/>
        </w:rPr>
        <w:t>根据市财政局要求，我所以绩效评估为契机，认真对照评估指标，按照年度工作计划扎实推进20</w:t>
      </w:r>
      <w:r>
        <w:rPr>
          <w:rFonts w:hint="eastAsia" w:ascii="仿宋_GB2312" w:eastAsia="仿宋_GB2312" w:cs="宋体"/>
          <w:sz w:val="32"/>
          <w:szCs w:val="32"/>
          <w:lang w:val="en-US" w:eastAsia="zh-CN"/>
        </w:rPr>
        <w:t>21</w:t>
      </w:r>
      <w:r>
        <w:rPr>
          <w:rFonts w:hint="eastAsia" w:ascii="仿宋_GB2312" w:eastAsia="仿宋_GB2312" w:cs="宋体"/>
          <w:sz w:val="32"/>
          <w:szCs w:val="32"/>
        </w:rPr>
        <w:t>年度财政支出绩效自评工作。总的来说，20</w:t>
      </w:r>
      <w:r>
        <w:rPr>
          <w:rFonts w:hint="eastAsia" w:ascii="仿宋_GB2312" w:eastAsia="仿宋_GB2312" w:cs="宋体"/>
          <w:sz w:val="32"/>
          <w:szCs w:val="32"/>
          <w:lang w:val="en-US" w:eastAsia="zh-CN"/>
        </w:rPr>
        <w:t>21</w:t>
      </w:r>
      <w:r>
        <w:rPr>
          <w:rFonts w:hint="eastAsia" w:ascii="仿宋_GB2312" w:eastAsia="仿宋_GB2312" w:cs="宋体"/>
          <w:sz w:val="32"/>
          <w:szCs w:val="32"/>
        </w:rPr>
        <w:t>年我所全体干部职工积极履职、扎实工作，较好完成了全年工作目标。</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1、发挥公安监管场所优势，积极主动为实战服务，以工作业绩彰显公安监管工作在打击犯罪、维护稳定中的重要地位。创新教育感化深挖犯罪工作方法，扩大深挖犯罪战果，为公安中心工作和现实斗争服务。</w:t>
      </w:r>
    </w:p>
    <w:p>
      <w:pPr>
        <w:pStyle w:val="5"/>
        <w:shd w:val="clear" w:color="auto" w:fill="FFFFFF"/>
        <w:spacing w:before="0" w:beforeAutospacing="0" w:after="0" w:afterAutospacing="0"/>
        <w:ind w:firstLine="795"/>
        <w:jc w:val="both"/>
        <w:rPr>
          <w:rFonts w:ascii="仿宋_GB2312" w:hAnsi="Times New Roman" w:eastAsia="仿宋_GB2312"/>
          <w:kern w:val="2"/>
          <w:sz w:val="32"/>
          <w:szCs w:val="32"/>
        </w:rPr>
      </w:pPr>
      <w:r>
        <w:rPr>
          <w:rFonts w:hint="eastAsia" w:ascii="仿宋_GB2312" w:hAnsi="Times New Roman" w:eastAsia="仿宋_GB2312"/>
          <w:kern w:val="2"/>
          <w:sz w:val="32"/>
          <w:szCs w:val="32"/>
        </w:rPr>
        <w:t>2、对看守所现有的各项监区设施、设备进行必要的维修维护，保证各项监区设施、设备的良好运行，保障在押人员的生活环境以及工作人员的工作环境干净整洁、绿化优美。保障看守所安全顺利运行，保障在押人员的合法权益，保障在押人员身体的健康。维护社会稳定，打击犯罪，保护人民生命财产安全。</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3、对在押人员做好教育矫治工作，加强对在押人员的法制教育和心理疏导。获取有效的犯罪线索，为更有力地打击违法犯罪行为提供有力的证据。</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4、严格执行收支两条线，严格执行行政单位会计制度的相关规定，保证各项支出依法、依规，合理有效。保障国有资产不流失，充分发挥国有资产使用效益，使其增值。</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5、积极组织收入，确保完成收入预算。</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6、严格按照预算使用资金。</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7、严格按政策发放津贴补贴，资产保存完整、合理配置、规范处置。</w:t>
      </w:r>
    </w:p>
    <w:p>
      <w:pPr>
        <w:widowControl/>
        <w:shd w:val="clear" w:color="auto" w:fill="FFFFFF"/>
        <w:spacing w:line="600" w:lineRule="atLeast"/>
        <w:ind w:firstLine="640"/>
        <w:jc w:val="left"/>
        <w:rPr>
          <w:rFonts w:hint="eastAsia" w:ascii="黑体" w:eastAsia="黑体"/>
          <w:color w:val="333333"/>
          <w:kern w:val="0"/>
          <w:sz w:val="32"/>
          <w:szCs w:val="32"/>
        </w:rPr>
      </w:pPr>
      <w:r>
        <w:rPr>
          <w:rFonts w:hint="eastAsia" w:ascii="黑体" w:eastAsia="黑体"/>
          <w:color w:val="333333"/>
          <w:kern w:val="0"/>
          <w:sz w:val="32"/>
          <w:szCs w:val="32"/>
        </w:rPr>
        <w:t>五、部门整体支出绩效评价指标分析及存在的问题</w:t>
      </w:r>
    </w:p>
    <w:p>
      <w:pPr>
        <w:pStyle w:val="5"/>
        <w:shd w:val="clear" w:color="auto" w:fill="FFFFFF"/>
        <w:spacing w:before="0" w:beforeAutospacing="0" w:after="0" w:afterAutospacing="0"/>
        <w:ind w:firstLine="795"/>
        <w:rPr>
          <w:rFonts w:hint="eastAsia" w:ascii="仿宋_GB2312" w:hAnsi="Times New Roman" w:eastAsia="仿宋_GB2312"/>
          <w:kern w:val="2"/>
          <w:sz w:val="32"/>
          <w:szCs w:val="32"/>
        </w:rPr>
      </w:pPr>
      <w:r>
        <w:rPr>
          <w:rFonts w:hint="eastAsia" w:ascii="仿宋_GB2312" w:hAnsi="Times New Roman" w:eastAsia="仿宋_GB2312"/>
          <w:kern w:val="2"/>
          <w:sz w:val="32"/>
          <w:szCs w:val="32"/>
        </w:rPr>
        <w:t>（一）评价结论。</w:t>
      </w:r>
    </w:p>
    <w:p>
      <w:pPr>
        <w:pStyle w:val="5"/>
        <w:shd w:val="clear" w:color="auto" w:fill="FFFFFF"/>
        <w:spacing w:before="0" w:beforeAutospacing="0" w:after="0" w:afterAutospacing="0"/>
        <w:ind w:firstLine="795"/>
        <w:rPr>
          <w:rFonts w:hint="eastAsia" w:ascii="仿宋_GB2312" w:hAnsi="Times New Roman" w:eastAsia="仿宋_GB2312"/>
          <w:kern w:val="2"/>
          <w:sz w:val="32"/>
          <w:szCs w:val="32"/>
        </w:rPr>
      </w:pPr>
      <w:r>
        <w:rPr>
          <w:rFonts w:hint="eastAsia" w:ascii="仿宋_GB2312" w:hAnsi="Times New Roman" w:eastAsia="仿宋_GB2312"/>
          <w:kern w:val="2"/>
          <w:sz w:val="32"/>
          <w:szCs w:val="32"/>
        </w:rPr>
        <w:t>我所紧紧围绕维护全市社会稳定、促进社会公平正义、保障人民安居乐业的职责任务，着眼能力建设，创新体制机制，创造安全稳定的社会环境、公平正义的法治环境和优质高效的服务环境为根本来设立部门绩效目标。</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从经济性分析、效率性分析、效益性分析三方面来看，预算配置控制较好，预算执行比较到位;支出总额控制在预算总额以内，预算完成率达到100%，全年无结转结余。预算管理基本合理，制度执行总体有效，但仍需进一步完善制度和执行的强化。所领导在每天的日常工作中随时检查财务管理规定的的实施情况，落实各项经费的使用情况。看守所使用的每一笔经费都严格按照管理规定的使用程序来进行资金的使用。</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（二）具体绩效分析。</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对照绩效评价指标体系逐项进行分析、评价。</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⑴ 成立以所领导为组长、分管所领导为副组长，财务负责人等成员的绩效评价暨预算管理的工作小组，具体负责组织执行绩效自评工作，为绩效自评开展提供了组织保障；</w:t>
      </w:r>
    </w:p>
    <w:p>
      <w:pPr>
        <w:pStyle w:val="5"/>
        <w:shd w:val="clear" w:color="auto" w:fill="FFFFFF"/>
        <w:spacing w:before="0" w:beforeAutospacing="0" w:after="0" w:afterAutospacing="0"/>
        <w:ind w:firstLine="795"/>
        <w:rPr>
          <w:rFonts w:hint="eastAsia" w:ascii="仿宋_GB2312" w:hAnsi="Times New Roman" w:eastAsia="仿宋_GB2312"/>
          <w:kern w:val="2"/>
          <w:sz w:val="32"/>
          <w:szCs w:val="32"/>
        </w:rPr>
      </w:pPr>
      <w:r>
        <w:rPr>
          <w:rFonts w:hint="eastAsia" w:ascii="仿宋_GB2312" w:hAnsi="Times New Roman" w:eastAsia="仿宋_GB2312"/>
          <w:kern w:val="2"/>
          <w:sz w:val="32"/>
          <w:szCs w:val="32"/>
        </w:rPr>
        <w:t>⑵ 结合我所实际情况拟定评价计划，明确我所绩效评价组织的具体实施方式，确定评价的目的、内容、任务、依据、开展评价的时间以及要求等情况</w:t>
      </w:r>
    </w:p>
    <w:p>
      <w:pPr>
        <w:pStyle w:val="5"/>
        <w:shd w:val="clear" w:color="auto" w:fill="FFFFFF"/>
        <w:spacing w:before="0" w:beforeAutospacing="0" w:after="0" w:afterAutospacing="0"/>
        <w:ind w:firstLine="795"/>
        <w:rPr>
          <w:rFonts w:hint="eastAsia" w:ascii="仿宋_GB2312" w:hAnsi="Times New Roman" w:eastAsia="仿宋_GB2312"/>
          <w:kern w:val="2"/>
          <w:sz w:val="32"/>
          <w:szCs w:val="32"/>
        </w:rPr>
      </w:pPr>
      <w:r>
        <w:rPr>
          <w:rFonts w:hint="eastAsia" w:ascii="仿宋_GB2312" w:hAnsi="Times New Roman" w:eastAsia="仿宋_GB2312"/>
          <w:kern w:val="2"/>
          <w:sz w:val="32"/>
          <w:szCs w:val="32"/>
        </w:rPr>
        <w:t>⑶ 多学习、多实践，不断完善绩效评价管理</w:t>
      </w:r>
    </w:p>
    <w:p>
      <w:pPr>
        <w:pStyle w:val="5"/>
        <w:shd w:val="clear" w:color="auto" w:fill="FFFFFF"/>
        <w:spacing w:before="0" w:beforeAutospacing="0" w:after="0" w:afterAutospacing="0"/>
        <w:ind w:firstLine="795"/>
        <w:rPr>
          <w:rFonts w:hint="eastAsia" w:ascii="仿宋_GB2312" w:hAnsi="Times New Roman" w:eastAsia="仿宋_GB2312"/>
          <w:kern w:val="2"/>
          <w:sz w:val="32"/>
          <w:szCs w:val="32"/>
        </w:rPr>
      </w:pPr>
      <w:r>
        <w:rPr>
          <w:rFonts w:hint="eastAsia" w:ascii="仿宋_GB2312" w:hAnsi="Times New Roman" w:eastAsia="仿宋_GB2312"/>
          <w:kern w:val="2"/>
          <w:sz w:val="32"/>
          <w:szCs w:val="32"/>
        </w:rPr>
        <w:t>六、存在的问题</w:t>
      </w:r>
    </w:p>
    <w:p>
      <w:pPr>
        <w:pStyle w:val="5"/>
        <w:shd w:val="clear" w:color="auto" w:fill="FFFFFF"/>
        <w:spacing w:before="0" w:beforeAutospacing="0" w:after="0" w:afterAutospacing="0"/>
        <w:ind w:firstLine="795"/>
        <w:rPr>
          <w:rFonts w:hint="eastAsia" w:ascii="仿宋_GB2312" w:hAnsi="Times New Roman" w:eastAsia="仿宋_GB2312"/>
          <w:kern w:val="2"/>
          <w:sz w:val="32"/>
          <w:szCs w:val="32"/>
        </w:rPr>
      </w:pPr>
      <w:r>
        <w:rPr>
          <w:rFonts w:hint="eastAsia" w:ascii="仿宋_GB2312" w:hAnsi="Times New Roman" w:eastAsia="仿宋_GB2312"/>
          <w:kern w:val="2"/>
          <w:sz w:val="32"/>
          <w:szCs w:val="32"/>
        </w:rPr>
        <w:t>部门整体支出绩效评价体系机制还不够全面完善</w:t>
      </w:r>
    </w:p>
    <w:p>
      <w:pPr>
        <w:pStyle w:val="5"/>
        <w:shd w:val="clear" w:color="auto" w:fill="FFFFFF"/>
        <w:spacing w:before="0" w:beforeAutospacing="0" w:after="0" w:afterAutospacing="0"/>
        <w:ind w:firstLine="795"/>
        <w:rPr>
          <w:rFonts w:hint="eastAsia" w:ascii="仿宋_GB2312" w:hAnsi="Times New Roman" w:eastAsia="仿宋_GB2312"/>
          <w:kern w:val="2"/>
          <w:sz w:val="32"/>
          <w:szCs w:val="32"/>
        </w:rPr>
      </w:pPr>
      <w:r>
        <w:rPr>
          <w:rFonts w:hint="eastAsia" w:ascii="仿宋_GB2312" w:hAnsi="Times New Roman" w:eastAsia="仿宋_GB2312"/>
          <w:kern w:val="2"/>
          <w:sz w:val="32"/>
          <w:szCs w:val="32"/>
        </w:rPr>
        <w:t>七、改进措施及建议</w:t>
      </w:r>
    </w:p>
    <w:p>
      <w:pPr>
        <w:pStyle w:val="5"/>
        <w:shd w:val="clear" w:color="auto" w:fill="FFFFFF"/>
        <w:spacing w:before="0" w:beforeAutospacing="0" w:after="0" w:afterAutospacing="0"/>
        <w:ind w:firstLine="795"/>
        <w:jc w:val="both"/>
        <w:rPr>
          <w:rFonts w:hint="eastAsia" w:ascii="仿宋_GB2312" w:hAnsi="Times New Roman" w:eastAsia="仿宋_GB2312"/>
          <w:kern w:val="2"/>
          <w:sz w:val="32"/>
          <w:szCs w:val="32"/>
        </w:rPr>
      </w:pPr>
      <w:r>
        <w:rPr>
          <w:rFonts w:hint="eastAsia" w:ascii="仿宋_GB2312" w:hAnsi="Times New Roman" w:eastAsia="仿宋_GB2312"/>
          <w:kern w:val="2"/>
          <w:sz w:val="32"/>
          <w:szCs w:val="32"/>
        </w:rPr>
        <w:t>通过绩效评价增强了我所对预算绩效管理重要性的认识，引导并树立了“花钱必问效、无效必问责”的绩效理念，推动了绩效结果运用，提高了项目预算编制质量和管理水平。反复验证已建立绩效指标体系的科学性、合理性，并逐步修正完善。</w:t>
      </w:r>
    </w:p>
    <w:p>
      <w:pPr>
        <w:ind w:firstLine="640" w:firstLineChars="200"/>
        <w:jc w:val="left"/>
        <w:rPr>
          <w:rFonts w:cs="黑体" w:asciiTheme="minorEastAsia" w:hAnsiTheme="minorEastAsia"/>
          <w:color w:val="000000"/>
          <w:kern w:val="0"/>
          <w:sz w:val="32"/>
          <w:szCs w:val="32"/>
        </w:rPr>
      </w:pPr>
      <w:bookmarkStart w:id="0" w:name="_GoBack"/>
      <w:bookmarkEnd w:id="0"/>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
    <w:altName w:val="Times New Roman"/>
    <w:panose1 w:val="00000000000000000000"/>
    <w:charset w:val="00"/>
    <w:family w:val="roman"/>
    <w:pitch w:val="default"/>
    <w:sig w:usb0="00000000" w:usb1="00000000" w:usb2="00000000"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lZWVkYTMxZjY1NGQwZjg5NDdhZTU2OGEzYjE0MWU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21325A4B"/>
    <w:rsid w:val="2FF62EF3"/>
    <w:rsid w:val="6A7A7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7987</Words>
  <Characters>8747</Characters>
  <Lines>69</Lines>
  <Paragraphs>19</Paragraphs>
  <TotalTime>0</TotalTime>
  <ScaleCrop>false</ScaleCrop>
  <LinksUpToDate>false</LinksUpToDate>
  <CharactersWithSpaces>8773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62502</cp:lastModifiedBy>
  <cp:lastPrinted>2022-07-27T12:55:00Z</cp:lastPrinted>
  <dcterms:modified xsi:type="dcterms:W3CDTF">2022-11-09T04:12:10Z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118C60E8B2444933B09B69625E72F67C</vt:lpwstr>
  </property>
</Properties>
</file>