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jc w:val="center"/>
        <w:rPr>
          <w:rFonts w:ascii="仿宋" w:hAnsi="仿宋" w:eastAsia="仿宋"/>
          <w:sz w:val="56"/>
          <w:szCs w:val="56"/>
        </w:rPr>
      </w:pPr>
    </w:p>
    <w:p>
      <w:pPr>
        <w:pStyle w:val="9"/>
        <w:jc w:val="center"/>
        <w:rPr>
          <w:rFonts w:ascii="仿宋" w:hAnsi="仿宋" w:eastAsia="仿宋"/>
          <w:sz w:val="56"/>
          <w:szCs w:val="56"/>
        </w:rPr>
      </w:pPr>
    </w:p>
    <w:p>
      <w:pPr>
        <w:pStyle w:val="9"/>
        <w:jc w:val="center"/>
        <w:rPr>
          <w:rFonts w:ascii="仿宋" w:hAnsi="仿宋" w:eastAsia="仿宋"/>
          <w:sz w:val="56"/>
          <w:szCs w:val="56"/>
        </w:rPr>
      </w:pPr>
    </w:p>
    <w:p>
      <w:pPr>
        <w:pStyle w:val="9"/>
        <w:jc w:val="center"/>
        <w:rPr>
          <w:rFonts w:ascii="仿宋" w:hAnsi="仿宋" w:eastAsia="仿宋"/>
          <w:sz w:val="56"/>
          <w:szCs w:val="56"/>
        </w:rPr>
      </w:pPr>
    </w:p>
    <w:p>
      <w:pPr>
        <w:pStyle w:val="9"/>
        <w:jc w:val="center"/>
        <w:rPr>
          <w:rFonts w:ascii="仿宋" w:hAnsi="仿宋" w:eastAsia="仿宋"/>
          <w:sz w:val="84"/>
          <w:szCs w:val="84"/>
        </w:rPr>
      </w:pPr>
    </w:p>
    <w:p>
      <w:pPr>
        <w:pStyle w:val="9"/>
        <w:jc w:val="center"/>
        <w:rPr>
          <w:rFonts w:ascii="仿宋" w:hAnsi="仿宋" w:eastAsia="仿宋"/>
          <w:sz w:val="84"/>
          <w:szCs w:val="84"/>
        </w:rPr>
      </w:pPr>
    </w:p>
    <w:p>
      <w:pPr>
        <w:pStyle w:val="9"/>
        <w:jc w:val="center"/>
        <w:rPr>
          <w:rFonts w:ascii="仿宋" w:hAnsi="仿宋" w:eastAsia="仿宋"/>
          <w:sz w:val="84"/>
          <w:szCs w:val="84"/>
        </w:rPr>
      </w:pPr>
      <w:r>
        <w:rPr>
          <w:rFonts w:hint="eastAsia" w:ascii="仿宋" w:hAnsi="仿宋" w:eastAsia="仿宋"/>
          <w:sz w:val="84"/>
          <w:szCs w:val="84"/>
        </w:rPr>
        <w:t>2022年度</w:t>
      </w:r>
    </w:p>
    <w:p>
      <w:pPr>
        <w:pStyle w:val="9"/>
        <w:jc w:val="center"/>
        <w:rPr>
          <w:rFonts w:ascii="仿宋" w:hAnsi="仿宋" w:eastAsia="仿宋"/>
          <w:sz w:val="84"/>
          <w:szCs w:val="84"/>
        </w:rPr>
      </w:pPr>
      <w:r>
        <w:rPr>
          <w:rFonts w:hint="eastAsia" w:ascii="仿宋" w:hAnsi="仿宋" w:eastAsia="仿宋"/>
          <w:sz w:val="84"/>
          <w:szCs w:val="84"/>
        </w:rPr>
        <w:t>沅江市林业局部门决算</w:t>
      </w:r>
    </w:p>
    <w:p>
      <w:pPr>
        <w:pStyle w:val="9"/>
        <w:jc w:val="center"/>
        <w:rPr>
          <w:rFonts w:ascii="仿宋" w:hAnsi="仿宋" w:eastAsia="仿宋"/>
          <w:sz w:val="56"/>
          <w:szCs w:val="56"/>
        </w:rPr>
      </w:pPr>
    </w:p>
    <w:p>
      <w:pPr>
        <w:pStyle w:val="9"/>
        <w:jc w:val="center"/>
        <w:rPr>
          <w:rFonts w:ascii="仿宋" w:hAnsi="仿宋" w:eastAsia="仿宋"/>
          <w:sz w:val="56"/>
          <w:szCs w:val="56"/>
        </w:rPr>
      </w:pPr>
    </w:p>
    <w:p>
      <w:pPr>
        <w:pStyle w:val="9"/>
        <w:jc w:val="center"/>
        <w:rPr>
          <w:rFonts w:ascii="仿宋" w:hAnsi="仿宋" w:eastAsia="仿宋"/>
          <w:sz w:val="56"/>
          <w:szCs w:val="56"/>
        </w:rPr>
      </w:pPr>
    </w:p>
    <w:p>
      <w:pPr>
        <w:pStyle w:val="9"/>
        <w:jc w:val="center"/>
        <w:rPr>
          <w:rFonts w:ascii="仿宋" w:hAnsi="仿宋" w:eastAsia="仿宋"/>
          <w:sz w:val="56"/>
          <w:szCs w:val="56"/>
        </w:rPr>
      </w:pPr>
    </w:p>
    <w:p>
      <w:pPr>
        <w:pStyle w:val="9"/>
        <w:jc w:val="center"/>
        <w:rPr>
          <w:rFonts w:ascii="仿宋" w:hAnsi="仿宋" w:eastAsia="仿宋"/>
          <w:sz w:val="56"/>
          <w:szCs w:val="56"/>
        </w:rPr>
      </w:pPr>
    </w:p>
    <w:p>
      <w:pPr>
        <w:pStyle w:val="9"/>
        <w:jc w:val="center"/>
        <w:rPr>
          <w:rFonts w:ascii="仿宋" w:hAnsi="仿宋" w:eastAsia="仿宋"/>
          <w:sz w:val="56"/>
          <w:szCs w:val="56"/>
        </w:rPr>
      </w:pPr>
    </w:p>
    <w:p>
      <w:pPr>
        <w:pStyle w:val="9"/>
        <w:jc w:val="center"/>
        <w:rPr>
          <w:rFonts w:ascii="仿宋" w:hAnsi="仿宋" w:eastAsia="仿宋"/>
          <w:sz w:val="56"/>
          <w:szCs w:val="56"/>
        </w:rPr>
      </w:pPr>
    </w:p>
    <w:p>
      <w:pPr>
        <w:pStyle w:val="9"/>
        <w:jc w:val="center"/>
        <w:rPr>
          <w:rFonts w:ascii="仿宋" w:hAnsi="仿宋" w:eastAsia="仿宋"/>
          <w:sz w:val="56"/>
          <w:szCs w:val="56"/>
        </w:rPr>
      </w:pPr>
    </w:p>
    <w:p>
      <w:pPr>
        <w:pStyle w:val="9"/>
        <w:jc w:val="center"/>
        <w:rPr>
          <w:rFonts w:ascii="仿宋" w:hAnsi="仿宋" w:eastAsia="仿宋"/>
          <w:sz w:val="56"/>
          <w:szCs w:val="56"/>
        </w:rPr>
      </w:pPr>
    </w:p>
    <w:p>
      <w:pPr>
        <w:pStyle w:val="9"/>
        <w:jc w:val="center"/>
        <w:rPr>
          <w:rFonts w:ascii="仿宋" w:hAnsi="仿宋" w:eastAsia="仿宋"/>
          <w:sz w:val="32"/>
          <w:szCs w:val="32"/>
        </w:rPr>
      </w:pPr>
    </w:p>
    <w:p>
      <w:pPr>
        <w:pStyle w:val="9"/>
        <w:jc w:val="center"/>
        <w:rPr>
          <w:rFonts w:ascii="仿宋" w:hAnsi="仿宋" w:eastAsia="仿宋"/>
          <w:sz w:val="32"/>
          <w:szCs w:val="32"/>
        </w:rPr>
      </w:pPr>
    </w:p>
    <w:p>
      <w:pPr>
        <w:pStyle w:val="9"/>
        <w:jc w:val="center"/>
        <w:rPr>
          <w:rFonts w:ascii="仿宋" w:hAnsi="仿宋" w:eastAsia="仿宋"/>
          <w:sz w:val="32"/>
          <w:szCs w:val="32"/>
        </w:rPr>
      </w:pPr>
    </w:p>
    <w:p>
      <w:pPr>
        <w:pStyle w:val="9"/>
        <w:spacing w:line="500" w:lineRule="exact"/>
        <w:jc w:val="center"/>
        <w:rPr>
          <w:rFonts w:ascii="仿宋" w:hAnsi="仿宋" w:eastAsia="仿宋"/>
          <w:b/>
          <w:sz w:val="36"/>
          <w:szCs w:val="28"/>
        </w:rPr>
      </w:pPr>
      <w:r>
        <w:rPr>
          <w:rFonts w:hint="eastAsia" w:ascii="仿宋" w:hAnsi="仿宋" w:eastAsia="仿宋"/>
          <w:b/>
          <w:sz w:val="36"/>
          <w:szCs w:val="28"/>
        </w:rPr>
        <w:t>目录</w:t>
      </w:r>
    </w:p>
    <w:p>
      <w:pPr>
        <w:pStyle w:val="9"/>
        <w:spacing w:line="500" w:lineRule="exact"/>
        <w:rPr>
          <w:rFonts w:ascii="仿宋" w:hAnsi="仿宋" w:eastAsia="仿宋" w:cs="仿宋_GB2312"/>
          <w:b/>
          <w:sz w:val="28"/>
          <w:szCs w:val="28"/>
        </w:rPr>
      </w:pPr>
      <w:r>
        <w:rPr>
          <w:rFonts w:hint="eastAsia" w:ascii="仿宋" w:hAnsi="仿宋" w:eastAsia="仿宋"/>
          <w:b/>
          <w:sz w:val="28"/>
          <w:szCs w:val="28"/>
        </w:rPr>
        <w:t>第一部分 沅江市林业局单位概况</w:t>
      </w:r>
    </w:p>
    <w:p>
      <w:pPr>
        <w:pStyle w:val="9"/>
        <w:spacing w:line="500" w:lineRule="exact"/>
        <w:ind w:firstLine="700" w:firstLineChars="250"/>
        <w:rPr>
          <w:rFonts w:ascii="仿宋" w:hAnsi="仿宋" w:eastAsia="仿宋" w:cs="仿宋_GB2312"/>
          <w:sz w:val="28"/>
          <w:szCs w:val="28"/>
        </w:rPr>
      </w:pPr>
      <w:r>
        <w:rPr>
          <w:rFonts w:ascii="仿宋" w:hAnsi="仿宋" w:eastAsia="仿宋" w:cs="仿宋_GB2312"/>
          <w:sz w:val="28"/>
          <w:szCs w:val="28"/>
        </w:rPr>
        <w:t>一、部门职责</w:t>
      </w:r>
    </w:p>
    <w:p>
      <w:pPr>
        <w:pStyle w:val="9"/>
        <w:spacing w:line="500" w:lineRule="exact"/>
        <w:ind w:firstLine="700" w:firstLineChars="250"/>
        <w:rPr>
          <w:rFonts w:ascii="仿宋" w:hAnsi="仿宋" w:eastAsia="仿宋" w:cs="仿宋_GB2312"/>
          <w:sz w:val="28"/>
          <w:szCs w:val="28"/>
        </w:rPr>
      </w:pPr>
      <w:r>
        <w:rPr>
          <w:rFonts w:ascii="仿宋" w:hAnsi="仿宋" w:eastAsia="仿宋" w:cs="仿宋_GB2312"/>
          <w:sz w:val="28"/>
          <w:szCs w:val="28"/>
        </w:rPr>
        <w:t>二、机构设置</w:t>
      </w:r>
    </w:p>
    <w:p>
      <w:pPr>
        <w:pStyle w:val="9"/>
        <w:spacing w:line="500" w:lineRule="exact"/>
        <w:rPr>
          <w:rFonts w:ascii="仿宋" w:hAnsi="仿宋" w:eastAsia="仿宋" w:cs="仿宋_GB2312"/>
          <w:b/>
          <w:sz w:val="28"/>
          <w:szCs w:val="28"/>
        </w:rPr>
      </w:pPr>
      <w:r>
        <w:rPr>
          <w:rFonts w:hint="eastAsia" w:ascii="仿宋" w:hAnsi="仿宋" w:eastAsia="仿宋"/>
          <w:b/>
          <w:sz w:val="28"/>
          <w:szCs w:val="28"/>
        </w:rPr>
        <w:t>第二部分 沅江市林业局</w:t>
      </w:r>
      <w:r>
        <w:rPr>
          <w:rFonts w:ascii="仿宋" w:hAnsi="仿宋" w:eastAsia="仿宋"/>
          <w:b/>
          <w:sz w:val="28"/>
          <w:szCs w:val="28"/>
        </w:rPr>
        <w:t>2022</w:t>
      </w:r>
      <w:r>
        <w:rPr>
          <w:rFonts w:hint="eastAsia" w:ascii="仿宋" w:hAnsi="仿宋" w:eastAsia="仿宋"/>
          <w:b/>
          <w:sz w:val="28"/>
          <w:szCs w:val="28"/>
        </w:rPr>
        <w:t>年度部门决算表</w:t>
      </w:r>
    </w:p>
    <w:p>
      <w:pPr>
        <w:pStyle w:val="9"/>
        <w:spacing w:line="500" w:lineRule="exact"/>
        <w:ind w:firstLine="700" w:firstLineChars="250"/>
        <w:rPr>
          <w:rFonts w:ascii="仿宋" w:hAnsi="仿宋" w:eastAsia="仿宋" w:cs="仿宋_GB2312"/>
          <w:sz w:val="28"/>
          <w:szCs w:val="28"/>
        </w:rPr>
      </w:pPr>
      <w:r>
        <w:rPr>
          <w:rFonts w:ascii="仿宋" w:hAnsi="仿宋" w:eastAsia="仿宋" w:cs="仿宋_GB2312"/>
          <w:sz w:val="28"/>
          <w:szCs w:val="28"/>
        </w:rPr>
        <w:t>一、收入支出决算总表</w:t>
      </w:r>
    </w:p>
    <w:p>
      <w:pPr>
        <w:pStyle w:val="9"/>
        <w:spacing w:line="500" w:lineRule="exact"/>
        <w:ind w:firstLine="700" w:firstLineChars="250"/>
        <w:rPr>
          <w:rFonts w:ascii="仿宋" w:hAnsi="仿宋" w:eastAsia="仿宋" w:cs="仿宋_GB2312"/>
          <w:sz w:val="28"/>
          <w:szCs w:val="28"/>
        </w:rPr>
      </w:pPr>
      <w:r>
        <w:rPr>
          <w:rFonts w:ascii="仿宋" w:hAnsi="仿宋" w:eastAsia="仿宋" w:cs="仿宋_GB2312"/>
          <w:sz w:val="28"/>
          <w:szCs w:val="28"/>
        </w:rPr>
        <w:t>二、收入决算表</w:t>
      </w:r>
    </w:p>
    <w:p>
      <w:pPr>
        <w:pStyle w:val="9"/>
        <w:spacing w:line="500" w:lineRule="exact"/>
        <w:ind w:firstLine="700" w:firstLineChars="250"/>
        <w:rPr>
          <w:rFonts w:ascii="仿宋" w:hAnsi="仿宋" w:eastAsia="仿宋" w:cs="仿宋_GB2312"/>
          <w:sz w:val="28"/>
          <w:szCs w:val="28"/>
        </w:rPr>
      </w:pPr>
      <w:r>
        <w:rPr>
          <w:rFonts w:ascii="仿宋" w:hAnsi="仿宋" w:eastAsia="仿宋" w:cs="仿宋_GB2312"/>
          <w:sz w:val="28"/>
          <w:szCs w:val="28"/>
        </w:rPr>
        <w:t>三、支出决算表</w:t>
      </w:r>
    </w:p>
    <w:p>
      <w:pPr>
        <w:pStyle w:val="9"/>
        <w:spacing w:line="500" w:lineRule="exact"/>
        <w:ind w:firstLine="700" w:firstLineChars="250"/>
        <w:rPr>
          <w:rFonts w:ascii="仿宋" w:hAnsi="仿宋" w:eastAsia="仿宋" w:cs="仿宋_GB2312"/>
          <w:sz w:val="28"/>
          <w:szCs w:val="28"/>
        </w:rPr>
      </w:pPr>
      <w:r>
        <w:rPr>
          <w:rFonts w:ascii="仿宋" w:hAnsi="仿宋" w:eastAsia="仿宋" w:cs="仿宋_GB2312"/>
          <w:sz w:val="28"/>
          <w:szCs w:val="28"/>
        </w:rPr>
        <w:t>四、财政拨款收入支出决算总表</w:t>
      </w:r>
    </w:p>
    <w:p>
      <w:pPr>
        <w:pStyle w:val="9"/>
        <w:spacing w:line="500" w:lineRule="exact"/>
        <w:ind w:firstLine="700" w:firstLineChars="250"/>
        <w:rPr>
          <w:rFonts w:ascii="仿宋" w:hAnsi="仿宋" w:eastAsia="仿宋" w:cs="仿宋_GB2312"/>
          <w:sz w:val="28"/>
          <w:szCs w:val="28"/>
        </w:rPr>
      </w:pPr>
      <w:r>
        <w:rPr>
          <w:rFonts w:ascii="仿宋" w:hAnsi="仿宋" w:eastAsia="仿宋" w:cs="仿宋_GB2312"/>
          <w:sz w:val="28"/>
          <w:szCs w:val="28"/>
        </w:rPr>
        <w:t>五、一般公共预算财政拨款支出决算表</w:t>
      </w:r>
    </w:p>
    <w:p>
      <w:pPr>
        <w:pStyle w:val="9"/>
        <w:spacing w:line="500" w:lineRule="exact"/>
        <w:ind w:firstLine="700" w:firstLineChars="250"/>
        <w:rPr>
          <w:rFonts w:ascii="仿宋" w:hAnsi="仿宋" w:eastAsia="仿宋" w:cs="仿宋_GB2312"/>
          <w:sz w:val="28"/>
          <w:szCs w:val="28"/>
        </w:rPr>
      </w:pPr>
      <w:r>
        <w:rPr>
          <w:rFonts w:ascii="仿宋" w:hAnsi="仿宋" w:eastAsia="仿宋" w:cs="仿宋_GB2312"/>
          <w:sz w:val="28"/>
          <w:szCs w:val="28"/>
        </w:rPr>
        <w:t>六、一般公共预算财政拨款基本支出决算表</w:t>
      </w:r>
    </w:p>
    <w:p>
      <w:pPr>
        <w:pStyle w:val="9"/>
        <w:spacing w:line="500" w:lineRule="exact"/>
        <w:ind w:firstLine="700" w:firstLineChars="250"/>
        <w:rPr>
          <w:rFonts w:ascii="仿宋" w:hAnsi="仿宋" w:eastAsia="仿宋" w:cs="仿宋_GB2312"/>
          <w:sz w:val="28"/>
          <w:szCs w:val="28"/>
        </w:rPr>
      </w:pPr>
      <w:r>
        <w:rPr>
          <w:rFonts w:ascii="仿宋" w:hAnsi="仿宋" w:eastAsia="仿宋" w:cs="仿宋_GB2312"/>
          <w:sz w:val="28"/>
          <w:szCs w:val="28"/>
        </w:rPr>
        <w:t>七、一般公共预算财政拨款“三公”经费支出决算表</w:t>
      </w:r>
    </w:p>
    <w:p>
      <w:pPr>
        <w:pStyle w:val="9"/>
        <w:spacing w:line="500" w:lineRule="exact"/>
        <w:ind w:firstLine="700" w:firstLineChars="250"/>
        <w:rPr>
          <w:rFonts w:ascii="仿宋" w:hAnsi="仿宋" w:eastAsia="仿宋" w:cs="仿宋_GB2312"/>
          <w:sz w:val="28"/>
          <w:szCs w:val="28"/>
        </w:rPr>
      </w:pPr>
      <w:r>
        <w:rPr>
          <w:rFonts w:ascii="仿宋" w:hAnsi="仿宋" w:eastAsia="仿宋" w:cs="仿宋_GB2312"/>
          <w:sz w:val="28"/>
          <w:szCs w:val="28"/>
        </w:rPr>
        <w:t>八、政府性基金预算财政拨款收入支出决算表</w:t>
      </w:r>
    </w:p>
    <w:p>
      <w:pPr>
        <w:pStyle w:val="9"/>
        <w:spacing w:line="500" w:lineRule="exact"/>
        <w:ind w:firstLine="700" w:firstLineChars="250"/>
        <w:rPr>
          <w:rFonts w:ascii="仿宋" w:hAnsi="仿宋" w:eastAsia="仿宋" w:cs="仿宋_GB2312"/>
          <w:sz w:val="28"/>
          <w:szCs w:val="28"/>
        </w:rPr>
      </w:pPr>
      <w:r>
        <w:rPr>
          <w:rFonts w:hint="eastAsia" w:ascii="仿宋" w:hAnsi="仿宋" w:eastAsia="仿宋" w:cs="仿宋_GB2312"/>
          <w:sz w:val="28"/>
          <w:szCs w:val="28"/>
        </w:rPr>
        <w:t>九、国有资本经营预算财政拨款支出决算表</w:t>
      </w:r>
    </w:p>
    <w:p>
      <w:pPr>
        <w:pStyle w:val="9"/>
        <w:spacing w:line="500" w:lineRule="exact"/>
        <w:rPr>
          <w:rFonts w:ascii="仿宋" w:hAnsi="仿宋" w:eastAsia="仿宋" w:cs="仿宋_GB2312"/>
          <w:b/>
          <w:sz w:val="28"/>
          <w:szCs w:val="28"/>
        </w:rPr>
      </w:pPr>
      <w:r>
        <w:rPr>
          <w:rFonts w:hint="eastAsia" w:ascii="仿宋" w:hAnsi="仿宋" w:eastAsia="仿宋"/>
          <w:b/>
          <w:sz w:val="28"/>
          <w:szCs w:val="28"/>
        </w:rPr>
        <w:t>第三部分 沅江市林业局</w:t>
      </w:r>
      <w:r>
        <w:rPr>
          <w:rFonts w:ascii="仿宋" w:hAnsi="仿宋" w:eastAsia="仿宋"/>
          <w:b/>
          <w:sz w:val="28"/>
          <w:szCs w:val="28"/>
        </w:rPr>
        <w:t>2022</w:t>
      </w:r>
      <w:r>
        <w:rPr>
          <w:rFonts w:hint="eastAsia" w:ascii="仿宋" w:hAnsi="仿宋" w:eastAsia="仿宋"/>
          <w:b/>
          <w:sz w:val="28"/>
          <w:szCs w:val="28"/>
        </w:rPr>
        <w:t>年度部门决算情况说明</w:t>
      </w:r>
    </w:p>
    <w:p>
      <w:pPr>
        <w:pStyle w:val="9"/>
        <w:spacing w:line="500" w:lineRule="exact"/>
        <w:ind w:firstLine="700" w:firstLineChars="250"/>
        <w:rPr>
          <w:rFonts w:ascii="仿宋" w:hAnsi="仿宋" w:eastAsia="仿宋" w:cs="仿宋_GB2312"/>
          <w:sz w:val="28"/>
          <w:szCs w:val="28"/>
        </w:rPr>
      </w:pPr>
      <w:r>
        <w:rPr>
          <w:rFonts w:ascii="仿宋" w:hAnsi="仿宋" w:eastAsia="仿宋" w:cs="仿宋_GB2312"/>
          <w:sz w:val="28"/>
          <w:szCs w:val="28"/>
        </w:rPr>
        <w:t>一、收入支出决算总体情况说明</w:t>
      </w:r>
    </w:p>
    <w:p>
      <w:pPr>
        <w:spacing w:line="500" w:lineRule="exact"/>
        <w:ind w:firstLine="700" w:firstLineChars="250"/>
        <w:jc w:val="left"/>
        <w:rPr>
          <w:rFonts w:ascii="仿宋" w:hAnsi="仿宋" w:eastAsia="仿宋" w:cs="仿宋_GB2312"/>
          <w:sz w:val="28"/>
          <w:szCs w:val="28"/>
        </w:rPr>
      </w:pPr>
      <w:r>
        <w:rPr>
          <w:rFonts w:ascii="仿宋" w:hAnsi="仿宋" w:eastAsia="仿宋" w:cs="仿宋_GB2312"/>
          <w:sz w:val="28"/>
          <w:szCs w:val="28"/>
        </w:rPr>
        <w:t>二、收入决算情况说明</w:t>
      </w:r>
    </w:p>
    <w:p>
      <w:pPr>
        <w:autoSpaceDE w:val="0"/>
        <w:autoSpaceDN w:val="0"/>
        <w:adjustRightInd w:val="0"/>
        <w:spacing w:line="500" w:lineRule="exact"/>
        <w:ind w:firstLine="700" w:firstLineChars="250"/>
        <w:jc w:val="left"/>
        <w:rPr>
          <w:rFonts w:ascii="仿宋" w:hAnsi="仿宋" w:eastAsia="仿宋" w:cs="仿宋_GB2312"/>
          <w:color w:val="000000"/>
          <w:kern w:val="0"/>
          <w:sz w:val="28"/>
          <w:szCs w:val="28"/>
        </w:rPr>
      </w:pPr>
      <w:r>
        <w:rPr>
          <w:rFonts w:ascii="仿宋" w:hAnsi="仿宋" w:eastAsia="仿宋"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ascii="仿宋" w:hAnsi="仿宋" w:eastAsia="仿宋" w:cs="仿宋_GB2312"/>
          <w:color w:val="000000"/>
          <w:kern w:val="0"/>
          <w:sz w:val="28"/>
          <w:szCs w:val="28"/>
        </w:rPr>
      </w:pPr>
      <w:r>
        <w:rPr>
          <w:rFonts w:ascii="仿宋" w:hAnsi="仿宋" w:eastAsia="仿宋"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ascii="仿宋" w:hAnsi="仿宋" w:eastAsia="仿宋" w:cs="仿宋_GB2312"/>
          <w:color w:val="000000"/>
          <w:kern w:val="0"/>
          <w:sz w:val="28"/>
          <w:szCs w:val="28"/>
        </w:rPr>
      </w:pPr>
      <w:r>
        <w:rPr>
          <w:rFonts w:ascii="仿宋" w:hAnsi="仿宋" w:eastAsia="仿宋"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ascii="仿宋" w:hAnsi="仿宋" w:eastAsia="仿宋" w:cs="仿宋_GB2312"/>
          <w:color w:val="000000"/>
          <w:kern w:val="0"/>
          <w:sz w:val="28"/>
          <w:szCs w:val="28"/>
        </w:rPr>
      </w:pPr>
      <w:r>
        <w:rPr>
          <w:rFonts w:ascii="仿宋" w:hAnsi="仿宋" w:eastAsia="仿宋"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ascii="仿宋" w:hAnsi="仿宋" w:eastAsia="仿宋" w:cs="仿宋_GB2312"/>
          <w:color w:val="000000"/>
          <w:kern w:val="0"/>
          <w:sz w:val="28"/>
          <w:szCs w:val="28"/>
        </w:rPr>
      </w:pPr>
      <w:r>
        <w:rPr>
          <w:rFonts w:ascii="仿宋" w:hAnsi="仿宋" w:eastAsia="仿宋" w:cs="仿宋_GB2312"/>
          <w:color w:val="000000"/>
          <w:kern w:val="0"/>
          <w:sz w:val="28"/>
          <w:szCs w:val="28"/>
        </w:rPr>
        <w:t>七、一般公共预算财政拨款三公经费支出决算情况说明</w:t>
      </w:r>
    </w:p>
    <w:p>
      <w:pPr>
        <w:autoSpaceDE w:val="0"/>
        <w:autoSpaceDN w:val="0"/>
        <w:adjustRightInd w:val="0"/>
        <w:spacing w:line="500" w:lineRule="exact"/>
        <w:ind w:firstLine="700" w:firstLineChars="250"/>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八</w:t>
      </w:r>
      <w:r>
        <w:rPr>
          <w:rFonts w:ascii="仿宋" w:hAnsi="仿宋" w:eastAsia="仿宋" w:cs="仿宋_GB2312"/>
          <w:color w:val="000000"/>
          <w:kern w:val="0"/>
          <w:sz w:val="28"/>
          <w:szCs w:val="28"/>
        </w:rPr>
        <w:t>、</w:t>
      </w:r>
      <w:r>
        <w:rPr>
          <w:rFonts w:hint="eastAsia" w:ascii="仿宋" w:hAnsi="仿宋" w:eastAsia="仿宋" w:cs="仿宋_GB2312"/>
          <w:color w:val="000000"/>
          <w:kern w:val="0"/>
          <w:sz w:val="28"/>
          <w:szCs w:val="28"/>
        </w:rPr>
        <w:t>政府性基金预算收入支出决算情况</w:t>
      </w:r>
    </w:p>
    <w:p>
      <w:pPr>
        <w:autoSpaceDE w:val="0"/>
        <w:autoSpaceDN w:val="0"/>
        <w:adjustRightInd w:val="0"/>
        <w:spacing w:line="500" w:lineRule="exact"/>
        <w:ind w:firstLine="700" w:firstLineChars="250"/>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九</w:t>
      </w:r>
      <w:r>
        <w:rPr>
          <w:rFonts w:ascii="仿宋" w:hAnsi="仿宋" w:eastAsia="仿宋" w:cs="仿宋_GB2312"/>
          <w:color w:val="000000"/>
          <w:kern w:val="0"/>
          <w:sz w:val="28"/>
          <w:szCs w:val="28"/>
        </w:rPr>
        <w:t>、</w:t>
      </w:r>
      <w:r>
        <w:rPr>
          <w:rFonts w:hint="eastAsia" w:ascii="仿宋" w:hAnsi="仿宋" w:eastAsia="仿宋" w:cs="仿宋_GB2312"/>
          <w:color w:val="000000"/>
          <w:kern w:val="0"/>
          <w:sz w:val="28"/>
          <w:szCs w:val="28"/>
        </w:rPr>
        <w:t>关于机关运行经费支出说明</w:t>
      </w:r>
    </w:p>
    <w:p>
      <w:pPr>
        <w:autoSpaceDE w:val="0"/>
        <w:autoSpaceDN w:val="0"/>
        <w:adjustRightInd w:val="0"/>
        <w:spacing w:line="500" w:lineRule="exact"/>
        <w:ind w:firstLine="700" w:firstLineChars="250"/>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十、一般性支出情况</w:t>
      </w:r>
    </w:p>
    <w:p>
      <w:pPr>
        <w:autoSpaceDE w:val="0"/>
        <w:autoSpaceDN w:val="0"/>
        <w:adjustRightInd w:val="0"/>
        <w:spacing w:line="500" w:lineRule="exact"/>
        <w:ind w:firstLine="700" w:firstLineChars="250"/>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十一、关于政府采购支出说明</w:t>
      </w:r>
    </w:p>
    <w:p>
      <w:pPr>
        <w:pStyle w:val="9"/>
        <w:spacing w:line="500" w:lineRule="exact"/>
        <w:ind w:firstLine="700" w:firstLineChars="250"/>
        <w:rPr>
          <w:rFonts w:ascii="仿宋" w:hAnsi="仿宋" w:eastAsia="仿宋" w:cs="仿宋_GB2312"/>
          <w:sz w:val="28"/>
          <w:szCs w:val="28"/>
        </w:rPr>
      </w:pPr>
      <w:r>
        <w:rPr>
          <w:rFonts w:hint="eastAsia" w:ascii="仿宋" w:hAnsi="仿宋" w:eastAsia="仿宋" w:cs="仿宋_GB2312"/>
          <w:sz w:val="28"/>
          <w:szCs w:val="28"/>
        </w:rPr>
        <w:t>十二、关于国有资产占用情况说明</w:t>
      </w:r>
    </w:p>
    <w:p>
      <w:pPr>
        <w:pStyle w:val="9"/>
        <w:spacing w:line="500" w:lineRule="exact"/>
        <w:ind w:firstLine="700" w:firstLineChars="250"/>
        <w:rPr>
          <w:rFonts w:ascii="仿宋" w:hAnsi="仿宋" w:eastAsia="仿宋" w:cs="仿宋_GB2312"/>
          <w:sz w:val="28"/>
          <w:szCs w:val="28"/>
        </w:rPr>
      </w:pPr>
      <w:r>
        <w:rPr>
          <w:rFonts w:hint="eastAsia" w:ascii="仿宋" w:hAnsi="仿宋" w:eastAsia="仿宋" w:cs="仿宋_GB2312"/>
          <w:sz w:val="28"/>
          <w:szCs w:val="28"/>
        </w:rPr>
        <w:t>十三、关于2022年度预算绩效情况的说明</w:t>
      </w:r>
    </w:p>
    <w:p>
      <w:pPr>
        <w:autoSpaceDE w:val="0"/>
        <w:autoSpaceDN w:val="0"/>
        <w:adjustRightInd w:val="0"/>
        <w:spacing w:line="500" w:lineRule="exact"/>
        <w:jc w:val="left"/>
        <w:rPr>
          <w:rFonts w:ascii="仿宋" w:hAnsi="仿宋" w:eastAsia="仿宋" w:cs="黑体"/>
          <w:b/>
          <w:color w:val="000000"/>
          <w:kern w:val="0"/>
          <w:sz w:val="28"/>
          <w:szCs w:val="28"/>
        </w:rPr>
      </w:pPr>
      <w:r>
        <w:rPr>
          <w:rFonts w:ascii="仿宋" w:hAnsi="仿宋" w:eastAsia="仿宋" w:cs="黑体"/>
          <w:b/>
          <w:color w:val="000000"/>
          <w:kern w:val="0"/>
          <w:sz w:val="28"/>
          <w:szCs w:val="28"/>
        </w:rPr>
        <w:t>第四部分</w:t>
      </w:r>
      <w:r>
        <w:rPr>
          <w:rFonts w:hint="eastAsia" w:ascii="仿宋" w:hAnsi="仿宋" w:eastAsia="仿宋" w:cs="黑体"/>
          <w:b/>
          <w:color w:val="000000"/>
          <w:kern w:val="0"/>
          <w:sz w:val="28"/>
          <w:szCs w:val="28"/>
        </w:rPr>
        <w:t xml:space="preserve"> </w:t>
      </w:r>
      <w:r>
        <w:rPr>
          <w:rFonts w:ascii="仿宋" w:hAnsi="仿宋" w:eastAsia="仿宋" w:cs="黑体"/>
          <w:b/>
          <w:color w:val="000000"/>
          <w:kern w:val="0"/>
          <w:sz w:val="28"/>
          <w:szCs w:val="28"/>
        </w:rPr>
        <w:t>名词解释</w:t>
      </w:r>
    </w:p>
    <w:p>
      <w:pPr>
        <w:autoSpaceDE w:val="0"/>
        <w:autoSpaceDN w:val="0"/>
        <w:adjustRightInd w:val="0"/>
        <w:spacing w:line="500" w:lineRule="exact"/>
        <w:jc w:val="left"/>
        <w:rPr>
          <w:rFonts w:ascii="仿宋" w:hAnsi="仿宋" w:eastAsia="仿宋" w:cs="仿宋_GB2312"/>
          <w:b/>
          <w:color w:val="000000"/>
          <w:kern w:val="0"/>
          <w:sz w:val="28"/>
          <w:szCs w:val="28"/>
        </w:rPr>
      </w:pPr>
      <w:r>
        <w:rPr>
          <w:rFonts w:hint="eastAsia" w:ascii="仿宋" w:hAnsi="仿宋" w:eastAsia="仿宋" w:cs="黑体"/>
          <w:b/>
          <w:color w:val="000000"/>
          <w:kern w:val="0"/>
          <w:sz w:val="28"/>
          <w:szCs w:val="28"/>
        </w:rPr>
        <w:t>第五部分 附件</w:t>
      </w:r>
    </w:p>
    <w:p>
      <w:pPr>
        <w:jc w:val="center"/>
        <w:rPr>
          <w:rFonts w:ascii="仿宋" w:hAnsi="仿宋" w:eastAsia="仿宋"/>
          <w:sz w:val="72"/>
          <w:szCs w:val="72"/>
        </w:rPr>
      </w:pPr>
    </w:p>
    <w:p>
      <w:pPr>
        <w:jc w:val="center"/>
        <w:rPr>
          <w:rFonts w:ascii="仿宋" w:hAnsi="仿宋" w:eastAsia="仿宋"/>
          <w:sz w:val="72"/>
          <w:szCs w:val="72"/>
        </w:rPr>
      </w:pPr>
    </w:p>
    <w:p>
      <w:pPr>
        <w:jc w:val="center"/>
        <w:rPr>
          <w:rFonts w:ascii="仿宋" w:hAnsi="仿宋" w:eastAsia="仿宋"/>
          <w:sz w:val="72"/>
          <w:szCs w:val="72"/>
        </w:rPr>
      </w:pPr>
    </w:p>
    <w:p>
      <w:pPr>
        <w:jc w:val="center"/>
        <w:rPr>
          <w:rFonts w:ascii="仿宋" w:hAnsi="仿宋" w:eastAsia="仿宋"/>
          <w:sz w:val="72"/>
          <w:szCs w:val="72"/>
        </w:rPr>
      </w:pPr>
    </w:p>
    <w:p>
      <w:pPr>
        <w:jc w:val="center"/>
        <w:rPr>
          <w:rFonts w:ascii="仿宋" w:hAnsi="仿宋" w:eastAsia="仿宋"/>
          <w:sz w:val="72"/>
          <w:szCs w:val="72"/>
        </w:rPr>
      </w:pPr>
    </w:p>
    <w:p>
      <w:pPr>
        <w:jc w:val="center"/>
        <w:rPr>
          <w:rFonts w:ascii="仿宋" w:hAnsi="仿宋" w:eastAsia="仿宋"/>
          <w:sz w:val="72"/>
          <w:szCs w:val="72"/>
        </w:rPr>
      </w:pPr>
    </w:p>
    <w:p>
      <w:pPr>
        <w:jc w:val="center"/>
        <w:rPr>
          <w:rFonts w:ascii="仿宋" w:hAnsi="仿宋" w:eastAsia="仿宋"/>
          <w:sz w:val="72"/>
          <w:szCs w:val="72"/>
        </w:rPr>
      </w:pPr>
    </w:p>
    <w:p>
      <w:pPr>
        <w:jc w:val="center"/>
        <w:rPr>
          <w:rFonts w:ascii="仿宋" w:hAnsi="仿宋" w:eastAsia="仿宋"/>
          <w:sz w:val="72"/>
          <w:szCs w:val="72"/>
        </w:rPr>
      </w:pPr>
    </w:p>
    <w:p>
      <w:pPr>
        <w:jc w:val="center"/>
        <w:rPr>
          <w:rFonts w:ascii="仿宋" w:hAnsi="仿宋" w:eastAsia="仿宋"/>
          <w:sz w:val="72"/>
          <w:szCs w:val="72"/>
        </w:rPr>
      </w:pPr>
    </w:p>
    <w:p>
      <w:pPr>
        <w:jc w:val="center"/>
        <w:rPr>
          <w:rFonts w:ascii="仿宋" w:hAnsi="仿宋" w:eastAsia="仿宋"/>
          <w:sz w:val="72"/>
          <w:szCs w:val="72"/>
        </w:rPr>
      </w:pPr>
    </w:p>
    <w:p>
      <w:pPr>
        <w:jc w:val="center"/>
        <w:rPr>
          <w:rFonts w:ascii="仿宋" w:hAnsi="仿宋" w:eastAsia="仿宋"/>
          <w:sz w:val="72"/>
          <w:szCs w:val="72"/>
        </w:rPr>
      </w:pPr>
    </w:p>
    <w:p>
      <w:pPr>
        <w:jc w:val="center"/>
        <w:rPr>
          <w:rFonts w:ascii="仿宋" w:hAnsi="仿宋" w:eastAsia="仿宋"/>
          <w:sz w:val="72"/>
          <w:szCs w:val="72"/>
        </w:rPr>
      </w:pPr>
    </w:p>
    <w:p>
      <w:pPr>
        <w:jc w:val="center"/>
        <w:rPr>
          <w:rFonts w:ascii="仿宋" w:hAnsi="仿宋" w:eastAsia="仿宋"/>
          <w:sz w:val="72"/>
          <w:szCs w:val="72"/>
        </w:rPr>
      </w:pPr>
    </w:p>
    <w:p>
      <w:pPr>
        <w:jc w:val="center"/>
        <w:rPr>
          <w:rFonts w:ascii="仿宋" w:hAnsi="仿宋" w:eastAsia="仿宋"/>
          <w:sz w:val="72"/>
          <w:szCs w:val="72"/>
        </w:rPr>
      </w:pPr>
    </w:p>
    <w:p>
      <w:pPr>
        <w:rPr>
          <w:rFonts w:ascii="仿宋" w:hAnsi="仿宋" w:eastAsia="仿宋"/>
          <w:sz w:val="72"/>
          <w:szCs w:val="72"/>
        </w:rPr>
      </w:pPr>
    </w:p>
    <w:p>
      <w:pPr>
        <w:rPr>
          <w:rFonts w:ascii="仿宋" w:hAnsi="仿宋" w:eastAsia="仿宋"/>
          <w:sz w:val="72"/>
          <w:szCs w:val="72"/>
        </w:rPr>
      </w:pPr>
    </w:p>
    <w:p>
      <w:pPr>
        <w:rPr>
          <w:rFonts w:ascii="仿宋" w:hAnsi="仿宋" w:eastAsia="仿宋"/>
          <w:sz w:val="72"/>
          <w:szCs w:val="72"/>
        </w:rPr>
      </w:pPr>
    </w:p>
    <w:p>
      <w:pPr>
        <w:rPr>
          <w:rFonts w:ascii="仿宋" w:hAnsi="仿宋" w:eastAsia="仿宋"/>
          <w:sz w:val="72"/>
          <w:szCs w:val="72"/>
        </w:rPr>
      </w:pPr>
    </w:p>
    <w:p>
      <w:pPr>
        <w:rPr>
          <w:rFonts w:ascii="仿宋" w:hAnsi="仿宋" w:eastAsia="仿宋"/>
          <w:sz w:val="72"/>
          <w:szCs w:val="72"/>
        </w:rPr>
      </w:pPr>
    </w:p>
    <w:p>
      <w:pPr>
        <w:rPr>
          <w:rFonts w:ascii="仿宋" w:hAnsi="仿宋" w:eastAsia="仿宋"/>
          <w:sz w:val="72"/>
          <w:szCs w:val="72"/>
        </w:rPr>
      </w:pPr>
    </w:p>
    <w:p>
      <w:pPr>
        <w:pStyle w:val="9"/>
        <w:jc w:val="center"/>
        <w:rPr>
          <w:rFonts w:ascii="仿宋" w:hAnsi="仿宋" w:eastAsia="仿宋"/>
          <w:sz w:val="84"/>
          <w:szCs w:val="84"/>
        </w:rPr>
      </w:pPr>
      <w:r>
        <w:rPr>
          <w:rFonts w:hint="eastAsia" w:ascii="仿宋" w:hAnsi="仿宋" w:eastAsia="仿宋"/>
          <w:sz w:val="84"/>
          <w:szCs w:val="84"/>
        </w:rPr>
        <w:t>第一部分</w:t>
      </w:r>
    </w:p>
    <w:p>
      <w:pPr>
        <w:pStyle w:val="9"/>
        <w:jc w:val="center"/>
        <w:rPr>
          <w:rFonts w:ascii="仿宋" w:hAnsi="仿宋" w:eastAsia="仿宋"/>
          <w:sz w:val="84"/>
          <w:szCs w:val="84"/>
        </w:rPr>
      </w:pPr>
    </w:p>
    <w:p>
      <w:pPr>
        <w:pStyle w:val="9"/>
        <w:jc w:val="center"/>
        <w:rPr>
          <w:rFonts w:ascii="仿宋" w:hAnsi="仿宋" w:eastAsia="仿宋"/>
          <w:sz w:val="84"/>
          <w:szCs w:val="84"/>
        </w:rPr>
      </w:pPr>
      <w:r>
        <w:rPr>
          <w:rFonts w:hint="eastAsia" w:ascii="仿宋" w:hAnsi="仿宋" w:eastAsia="仿宋"/>
          <w:sz w:val="84"/>
          <w:szCs w:val="84"/>
        </w:rPr>
        <w:t>沅江市林业局单位概况</w:t>
      </w:r>
    </w:p>
    <w:p>
      <w:pPr>
        <w:jc w:val="center"/>
        <w:rPr>
          <w:rFonts w:ascii="仿宋" w:hAnsi="仿宋" w:eastAsia="仿宋"/>
          <w:sz w:val="72"/>
          <w:szCs w:val="72"/>
        </w:rPr>
      </w:pPr>
    </w:p>
    <w:p>
      <w:pPr>
        <w:jc w:val="center"/>
        <w:rPr>
          <w:rFonts w:ascii="仿宋" w:hAnsi="仿宋" w:eastAsia="仿宋"/>
          <w:sz w:val="72"/>
          <w:szCs w:val="72"/>
        </w:rPr>
      </w:pPr>
    </w:p>
    <w:p>
      <w:pPr>
        <w:jc w:val="center"/>
        <w:rPr>
          <w:rFonts w:ascii="仿宋" w:hAnsi="仿宋" w:eastAsia="仿宋"/>
          <w:sz w:val="72"/>
          <w:szCs w:val="72"/>
        </w:rPr>
      </w:pPr>
    </w:p>
    <w:p>
      <w:pPr>
        <w:jc w:val="center"/>
        <w:rPr>
          <w:rFonts w:ascii="仿宋" w:hAnsi="仿宋" w:eastAsia="仿宋"/>
          <w:sz w:val="72"/>
          <w:szCs w:val="72"/>
        </w:rPr>
      </w:pPr>
    </w:p>
    <w:p>
      <w:pPr>
        <w:jc w:val="center"/>
        <w:rPr>
          <w:rFonts w:ascii="仿宋" w:hAnsi="仿宋" w:eastAsia="仿宋"/>
          <w:sz w:val="72"/>
          <w:szCs w:val="72"/>
        </w:rPr>
      </w:pPr>
    </w:p>
    <w:p>
      <w:pPr>
        <w:pStyle w:val="10"/>
        <w:ind w:left="720" w:firstLine="0" w:firstLineChars="0"/>
        <w:jc w:val="left"/>
        <w:rPr>
          <w:rFonts w:ascii="仿宋" w:hAnsi="仿宋" w:eastAsia="仿宋"/>
          <w:sz w:val="32"/>
          <w:szCs w:val="32"/>
        </w:rPr>
      </w:pPr>
    </w:p>
    <w:p>
      <w:pPr>
        <w:pStyle w:val="10"/>
        <w:ind w:left="720" w:firstLine="0" w:firstLineChars="0"/>
        <w:jc w:val="left"/>
        <w:rPr>
          <w:rFonts w:ascii="仿宋" w:hAnsi="仿宋" w:eastAsia="仿宋"/>
          <w:sz w:val="32"/>
          <w:szCs w:val="32"/>
        </w:rPr>
      </w:pPr>
    </w:p>
    <w:p>
      <w:pPr>
        <w:pStyle w:val="10"/>
        <w:ind w:left="720" w:firstLine="0" w:firstLineChars="0"/>
        <w:jc w:val="left"/>
        <w:rPr>
          <w:rFonts w:ascii="仿宋" w:hAnsi="仿宋" w:eastAsia="仿宋"/>
          <w:sz w:val="32"/>
          <w:szCs w:val="32"/>
        </w:rPr>
      </w:pPr>
    </w:p>
    <w:p>
      <w:pPr>
        <w:pStyle w:val="10"/>
        <w:numPr>
          <w:ilvl w:val="0"/>
          <w:numId w:val="1"/>
        </w:numPr>
        <w:ind w:firstLineChars="0"/>
        <w:jc w:val="left"/>
        <w:rPr>
          <w:rFonts w:ascii="仿宋" w:hAnsi="仿宋" w:eastAsia="仿宋"/>
          <w:b/>
          <w:sz w:val="32"/>
          <w:szCs w:val="32"/>
        </w:rPr>
      </w:pPr>
      <w:r>
        <w:rPr>
          <w:rFonts w:ascii="仿宋" w:hAnsi="仿宋" w:eastAsia="仿宋"/>
          <w:b/>
          <w:sz w:val="32"/>
          <w:szCs w:val="32"/>
        </w:rPr>
        <w:t>部门职责</w:t>
      </w:r>
    </w:p>
    <w:p>
      <w:pPr>
        <w:rPr>
          <w:rFonts w:ascii="仿宋" w:hAnsi="仿宋" w:eastAsia="仿宋" w:cs="仿宋"/>
          <w:sz w:val="32"/>
          <w:szCs w:val="32"/>
        </w:rPr>
      </w:pPr>
      <w:r>
        <w:rPr>
          <w:rFonts w:hint="eastAsia" w:ascii="仿宋" w:hAnsi="仿宋" w:eastAsia="仿宋" w:cs="仿宋"/>
          <w:sz w:val="32"/>
          <w:szCs w:val="32"/>
        </w:rPr>
        <w:t>（1）负责林业及其生态保护修复的监督管理；拟订林业及其生态保护修复的政策、规划、标准并组织实施；组织开展森林、湿地、荒漠和陆生野生动植物资源动态监测与评价。</w:t>
      </w:r>
    </w:p>
    <w:p>
      <w:pPr>
        <w:rPr>
          <w:rFonts w:ascii="仿宋" w:hAnsi="仿宋" w:eastAsia="仿宋" w:cs="仿宋"/>
          <w:sz w:val="32"/>
          <w:szCs w:val="32"/>
        </w:rPr>
      </w:pPr>
      <w:r>
        <w:rPr>
          <w:rFonts w:hint="eastAsia" w:ascii="仿宋" w:hAnsi="仿宋" w:eastAsia="仿宋" w:cs="仿宋"/>
          <w:sz w:val="32"/>
          <w:szCs w:val="32"/>
        </w:rPr>
        <w:t>（2）组织林业生态保护修复和造林绿化工作；组织实施林业重点生态保护修复工程；指导公益林和商品林的培育；指导、监督全民义务植树、城乡造林绿化工作；组织指导林木花卉工作；组织指导植树造林、封山育林工作和以植树种草等生物措施防治水土流失工作；指导林业有害生物防治、检疫工作；承担林业应对气候变化的相关工作；承担市绿化委员会的具体工作。</w:t>
      </w:r>
    </w:p>
    <w:p>
      <w:pPr>
        <w:rPr>
          <w:rFonts w:ascii="仿宋" w:hAnsi="仿宋" w:eastAsia="仿宋" w:cs="仿宋"/>
          <w:sz w:val="32"/>
          <w:szCs w:val="32"/>
        </w:rPr>
      </w:pPr>
      <w:r>
        <w:rPr>
          <w:rFonts w:hint="eastAsia" w:ascii="仿宋" w:hAnsi="仿宋" w:eastAsia="仿宋" w:cs="仿宋"/>
          <w:sz w:val="32"/>
          <w:szCs w:val="32"/>
        </w:rPr>
        <w:t>（3）负责森林、湿地资源的监督管理；组织编制并监督执行全市森林采伐限额；负责林地管理，指导监督规划编制，并组织实施；指导公益林管理和国有森林资源管理工作；负责林地禁牧和森林生态修复治理工作；监督管理森林资源的开发利用。</w:t>
      </w:r>
    </w:p>
    <w:p>
      <w:pPr>
        <w:rPr>
          <w:rFonts w:ascii="仿宋" w:hAnsi="仿宋" w:eastAsia="仿宋" w:cs="仿宋"/>
          <w:sz w:val="32"/>
          <w:szCs w:val="32"/>
        </w:rPr>
      </w:pPr>
      <w:r>
        <w:rPr>
          <w:rFonts w:hint="eastAsia" w:ascii="仿宋" w:hAnsi="仿宋" w:eastAsia="仿宋" w:cs="仿宋"/>
          <w:sz w:val="32"/>
          <w:szCs w:val="32"/>
        </w:rPr>
        <w:t>（4）指导和监督湿地生态保护修复工作。拟订湿地保护规划和相关标准，监督管理湿地的开发利用；组织、协调、指导和监督全市湿地保护工作；拟订全市性、区域性湿地保护规划；组织实施建立湿地保护区、湿地公园等湿地保护管理工作；指导和监督湿地的合理利用；组织、协调全市湿地保护和有关国际湿地公约的履约工作。</w:t>
      </w:r>
    </w:p>
    <w:p>
      <w:pPr>
        <w:rPr>
          <w:rFonts w:ascii="仿宋" w:hAnsi="仿宋" w:eastAsia="仿宋" w:cs="仿宋"/>
          <w:sz w:val="32"/>
          <w:szCs w:val="32"/>
        </w:rPr>
      </w:pPr>
      <w:r>
        <w:rPr>
          <w:rFonts w:hint="eastAsia" w:ascii="仿宋" w:hAnsi="仿宋" w:eastAsia="仿宋" w:cs="仿宋"/>
          <w:sz w:val="32"/>
          <w:szCs w:val="32"/>
        </w:rPr>
        <w:t>（5）负责监督管理石漠化防治工作。组织开展荒漠调查；组织拟订防沙治沙、石漠化防治及沙化土地封禁保护区建设规划；监督管理沙化土地的开发利用；组织沙化灾害预测预报和应急处置。</w:t>
      </w:r>
    </w:p>
    <w:p>
      <w:pPr>
        <w:rPr>
          <w:rFonts w:ascii="仿宋" w:hAnsi="仿宋" w:eastAsia="仿宋" w:cs="仿宋"/>
          <w:sz w:val="32"/>
          <w:szCs w:val="32"/>
        </w:rPr>
      </w:pPr>
      <w:r>
        <w:rPr>
          <w:rFonts w:hint="eastAsia" w:ascii="仿宋" w:hAnsi="仿宋" w:eastAsia="仿宋" w:cs="仿宋"/>
          <w:sz w:val="32"/>
          <w:szCs w:val="32"/>
        </w:rPr>
        <w:t>（6）负责陆生野生动植物资源监督管理。组织开展陆生野生动植物资源调查，依法组织、指导陆生野生动植物的救护、繁育、栖息地恢复发展、疫源疫病监测监督；监督管理全市陆生野生动植物猎捕或采集、驯养繁殖或培植、经营利用；按权限监督管理重点保护的陆生野生动植物保护或其产品出口。</w:t>
      </w:r>
    </w:p>
    <w:p>
      <w:pPr>
        <w:rPr>
          <w:rFonts w:ascii="仿宋" w:hAnsi="仿宋" w:eastAsia="仿宋" w:cs="仿宋"/>
          <w:sz w:val="32"/>
          <w:szCs w:val="32"/>
        </w:rPr>
      </w:pPr>
      <w:r>
        <w:rPr>
          <w:rFonts w:hint="eastAsia" w:ascii="仿宋" w:hAnsi="仿宋" w:eastAsia="仿宋" w:cs="仿宋"/>
          <w:sz w:val="32"/>
          <w:szCs w:val="32"/>
        </w:rPr>
        <w:t>（7）监督管理各类自然保护地。拟订各类自然保护地规划和相关标准；负责上级或由政府直接行使所有权的国家公园等自然保护地的自然资产管理和国土空间用途管制；提出新建、调整各类自然保护地的审核建议并按程序报批；组织审核世界自然遗产的申报，会同有关部门审核自然与文化双重遗产的申报；负责生物多样性保护相关工作。</w:t>
      </w:r>
    </w:p>
    <w:p>
      <w:pPr>
        <w:rPr>
          <w:rFonts w:ascii="仿宋" w:hAnsi="仿宋" w:eastAsia="仿宋" w:cs="仿宋"/>
          <w:sz w:val="32"/>
          <w:szCs w:val="32"/>
        </w:rPr>
      </w:pPr>
      <w:r>
        <w:rPr>
          <w:rFonts w:hint="eastAsia" w:ascii="仿宋" w:hAnsi="仿宋" w:eastAsia="仿宋" w:cs="仿宋"/>
          <w:sz w:val="32"/>
          <w:szCs w:val="32"/>
        </w:rPr>
        <w:t>（8）负责推进林业改革相关工作。指导、监督实施集体林权制度、国有林场等重大改革；拟订农村林业发展、维护林业经营者合法权益的政策措施；指导农村林地承包经营和林地流转工作；开展退耕还林，负责天然林保护工作。</w:t>
      </w:r>
    </w:p>
    <w:p>
      <w:pPr>
        <w:rPr>
          <w:rFonts w:ascii="仿宋" w:hAnsi="仿宋" w:eastAsia="仿宋" w:cs="仿宋"/>
          <w:sz w:val="32"/>
          <w:szCs w:val="32"/>
        </w:rPr>
      </w:pPr>
      <w:r>
        <w:rPr>
          <w:rFonts w:hint="eastAsia" w:ascii="仿宋" w:hAnsi="仿宋" w:eastAsia="仿宋" w:cs="仿宋"/>
          <w:sz w:val="32"/>
          <w:szCs w:val="32"/>
        </w:rPr>
        <w:t>（9）制定全市林业产业发展政策，合理调整林业产业发展布局，促进林业产业协调发展；制定林业资源优化配置及竹木材利用政策，按照规定，组织指导林产品质量监督；指导生态扶贫相关工作。</w:t>
      </w:r>
    </w:p>
    <w:p>
      <w:pPr>
        <w:rPr>
          <w:rFonts w:ascii="仿宋" w:hAnsi="仿宋" w:eastAsia="仿宋" w:cs="仿宋"/>
          <w:sz w:val="32"/>
          <w:szCs w:val="32"/>
        </w:rPr>
      </w:pPr>
      <w:r>
        <w:rPr>
          <w:rFonts w:hint="eastAsia" w:ascii="仿宋" w:hAnsi="仿宋" w:eastAsia="仿宋" w:cs="仿宋"/>
          <w:sz w:val="32"/>
          <w:szCs w:val="32"/>
        </w:rPr>
        <w:t>（10）指导国有林场基本建设和发展。组织林木种子、草种种质资源普查；组织建立种质资源库，负责良种选育推广；管理林木种苗草种生产经营行为；监督管理林木种苗、草种质量；监督管理林业生物种质资源、转基因生物安全、植物新品种保护。</w:t>
      </w:r>
    </w:p>
    <w:p>
      <w:pPr>
        <w:rPr>
          <w:rFonts w:ascii="仿宋" w:hAnsi="仿宋" w:eastAsia="仿宋" w:cs="仿宋"/>
          <w:sz w:val="32"/>
          <w:szCs w:val="32"/>
        </w:rPr>
      </w:pPr>
      <w:bookmarkStart w:id="0" w:name="OLE_LINK8"/>
      <w:bookmarkStart w:id="1" w:name="OLE_LINK7"/>
      <w:r>
        <w:rPr>
          <w:rFonts w:hint="eastAsia" w:ascii="仿宋" w:hAnsi="仿宋" w:eastAsia="仿宋" w:cs="仿宋"/>
          <w:sz w:val="32"/>
          <w:szCs w:val="32"/>
          <w:highlight w:val="none"/>
        </w:rPr>
        <w:t>（11）指导森林公安工作。监督管理森林公安队伍，指导全市林业重大违法案件的查处；负责相关行政执法监管工作；指导林区社会治安治理工作。</w:t>
      </w:r>
    </w:p>
    <w:bookmarkEnd w:id="0"/>
    <w:bookmarkEnd w:id="1"/>
    <w:p>
      <w:pPr>
        <w:rPr>
          <w:rFonts w:ascii="仿宋" w:hAnsi="仿宋" w:eastAsia="仿宋" w:cs="仿宋"/>
          <w:sz w:val="32"/>
          <w:szCs w:val="32"/>
        </w:rPr>
      </w:pPr>
      <w:r>
        <w:rPr>
          <w:rFonts w:hint="eastAsia" w:ascii="仿宋" w:hAnsi="仿宋" w:eastAsia="仿宋" w:cs="仿宋"/>
          <w:sz w:val="32"/>
          <w:szCs w:val="32"/>
        </w:rPr>
        <w:t>（12）负责落实综合防灾减灾规划相关要求。组织编制森林火灾防治规划和防护标准并指导实施；指导开展防火巡护、火源管理、防火设施建设等工作；组织指导国有林场林区开展宣传教育、监测预警、督促检查等防火工作。必要时，可以提请市应急局，以市应急指挥机构名义，部署相关防治工作。</w:t>
      </w:r>
    </w:p>
    <w:p>
      <w:pPr>
        <w:rPr>
          <w:rFonts w:ascii="仿宋" w:hAnsi="仿宋" w:eastAsia="仿宋" w:cs="仿宋"/>
          <w:sz w:val="32"/>
          <w:szCs w:val="32"/>
        </w:rPr>
      </w:pPr>
      <w:r>
        <w:rPr>
          <w:rFonts w:hint="eastAsia" w:ascii="仿宋" w:hAnsi="仿宋" w:eastAsia="仿宋" w:cs="仿宋"/>
          <w:sz w:val="32"/>
          <w:szCs w:val="32"/>
        </w:rPr>
        <w:t>（13）监督管理林业资金和国有资产，提出林业预算内投资、财政性资金安排建议；按市政府规定权限，审核全市规划内和年度计划内投资项目；参与拟订林业经济调节政策，组织、指导生态补偿制度的建立和实施。</w:t>
      </w:r>
    </w:p>
    <w:p>
      <w:pPr>
        <w:rPr>
          <w:rFonts w:ascii="仿宋" w:hAnsi="仿宋" w:eastAsia="仿宋" w:cs="仿宋"/>
          <w:sz w:val="32"/>
          <w:szCs w:val="32"/>
        </w:rPr>
      </w:pPr>
      <w:r>
        <w:rPr>
          <w:rFonts w:hint="eastAsia" w:ascii="仿宋" w:hAnsi="仿宋" w:eastAsia="仿宋" w:cs="仿宋"/>
          <w:sz w:val="32"/>
          <w:szCs w:val="32"/>
        </w:rPr>
        <w:t>（14）负责林业科技、教育和外事工作；指导全市林业人才队伍建设；组织实施林业国际交流与合作事务；承担湿地、防治荒漠化、濒危野生动植物等国际公约履约工作。</w:t>
      </w:r>
    </w:p>
    <w:p>
      <w:pPr>
        <w:widowControl/>
        <w:spacing w:line="600" w:lineRule="exact"/>
        <w:rPr>
          <w:rFonts w:ascii="仿宋" w:hAnsi="仿宋" w:eastAsia="仿宋"/>
          <w:b/>
          <w:bCs/>
          <w:kern w:val="0"/>
          <w:sz w:val="32"/>
          <w:szCs w:val="32"/>
        </w:rPr>
      </w:pPr>
      <w:r>
        <w:rPr>
          <w:rFonts w:hint="eastAsia" w:ascii="仿宋" w:hAnsi="仿宋" w:eastAsia="仿宋" w:cs="仿宋"/>
          <w:sz w:val="32"/>
          <w:szCs w:val="32"/>
        </w:rPr>
        <w:t>（15）完成市委、市政府交办的其他任务。</w:t>
      </w:r>
    </w:p>
    <w:p>
      <w:pPr>
        <w:widowControl/>
        <w:spacing w:line="600" w:lineRule="exact"/>
        <w:rPr>
          <w:rFonts w:ascii="仿宋" w:hAnsi="仿宋" w:eastAsia="仿宋"/>
          <w:b/>
          <w:bCs/>
          <w:kern w:val="0"/>
          <w:sz w:val="32"/>
          <w:szCs w:val="32"/>
        </w:rPr>
      </w:pPr>
      <w:r>
        <w:rPr>
          <w:rFonts w:hint="eastAsia" w:ascii="仿宋" w:hAnsi="仿宋" w:eastAsia="仿宋"/>
          <w:bCs/>
          <w:kern w:val="0"/>
          <w:sz w:val="32"/>
          <w:szCs w:val="32"/>
        </w:rPr>
        <w:t>二、</w:t>
      </w:r>
      <w:r>
        <w:rPr>
          <w:rFonts w:hint="eastAsia" w:ascii="仿宋" w:hAnsi="仿宋" w:eastAsia="仿宋"/>
          <w:b/>
          <w:bCs/>
          <w:kern w:val="0"/>
          <w:sz w:val="32"/>
          <w:szCs w:val="32"/>
        </w:rPr>
        <w:t>机构设置</w:t>
      </w:r>
    </w:p>
    <w:p>
      <w:pPr>
        <w:widowControl/>
        <w:shd w:val="clear" w:color="auto" w:fill="FFFFFF"/>
        <w:spacing w:before="100" w:after="100" w:line="560" w:lineRule="atLeast"/>
        <w:jc w:val="left"/>
        <w:rPr>
          <w:rFonts w:ascii="宋体" w:hAnsi="宋体" w:eastAsia="仿宋" w:cs="宋体"/>
          <w:color w:val="000000"/>
          <w:kern w:val="0"/>
          <w:sz w:val="32"/>
          <w:szCs w:val="32"/>
          <w:highlight w:val="none"/>
        </w:rPr>
      </w:pPr>
      <w:r>
        <w:rPr>
          <w:rFonts w:hint="eastAsia" w:ascii="仿宋" w:hAnsi="仿宋" w:eastAsia="仿宋" w:cs="宋体"/>
          <w:color w:val="000000"/>
          <w:kern w:val="0"/>
          <w:sz w:val="32"/>
          <w:szCs w:val="32"/>
          <w:highlight w:val="none"/>
        </w:rPr>
        <w:t>根据编委核定，我局内设股室七个，所属事业单位11个（含3个独立二级机构），全部纳入2022年部门决算编制范围。</w:t>
      </w:r>
      <w:r>
        <w:rPr>
          <w:rFonts w:hint="eastAsia" w:ascii="宋体" w:hAnsi="宋体" w:eastAsia="仿宋" w:cs="宋体"/>
          <w:color w:val="000000"/>
          <w:kern w:val="0"/>
          <w:sz w:val="32"/>
          <w:szCs w:val="32"/>
          <w:highlight w:val="none"/>
        </w:rPr>
        <w:t> </w:t>
      </w:r>
    </w:p>
    <w:p>
      <w:pPr>
        <w:widowControl/>
        <w:shd w:val="clear" w:color="auto" w:fill="FFFFFF"/>
        <w:spacing w:before="100" w:after="100" w:line="560" w:lineRule="atLeast"/>
        <w:jc w:val="left"/>
        <w:rPr>
          <w:rFonts w:ascii="仿宋" w:hAnsi="仿宋" w:eastAsia="仿宋" w:cs="宋体"/>
          <w:color w:val="000000"/>
          <w:kern w:val="0"/>
          <w:sz w:val="32"/>
          <w:szCs w:val="32"/>
        </w:rPr>
      </w:pPr>
      <w:r>
        <w:rPr>
          <w:rFonts w:hint="eastAsia" w:ascii="仿宋" w:hAnsi="仿宋" w:eastAsia="仿宋" w:cs="Times New Roman"/>
          <w:sz w:val="32"/>
        </w:rPr>
        <w:t>内设股室分别是办公室、人事股、规划财务股、造林绿化股、资源林政股、自然保护地管理股、森林防火股。</w:t>
      </w:r>
    </w:p>
    <w:p>
      <w:pPr>
        <w:widowControl/>
        <w:spacing w:line="520" w:lineRule="atLeast"/>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所属事业单位分别是市林业综合行政执法大队、市森林病虫害防治保护站、市湿地保护站、市琼湖国家湿地公园事务中心、湖南省沅江市龙虎山林场、市林业科学研究所、市苗圃场（市目平湖林芦站）、市林木种苗和技术推广站、市林业调查事务中心、市南洞庭湖风景名胜事务中心、市林长制事务中心。</w:t>
      </w:r>
    </w:p>
    <w:p>
      <w:pPr>
        <w:jc w:val="center"/>
        <w:rPr>
          <w:rFonts w:ascii="仿宋" w:hAnsi="仿宋" w:eastAsia="仿宋"/>
          <w:sz w:val="28"/>
          <w:szCs w:val="28"/>
        </w:rPr>
      </w:pPr>
    </w:p>
    <w:p>
      <w:pPr>
        <w:rPr>
          <w:rFonts w:ascii="仿宋" w:hAnsi="仿宋" w:eastAsia="仿宋"/>
          <w:sz w:val="28"/>
          <w:szCs w:val="28"/>
        </w:rPr>
      </w:pPr>
    </w:p>
    <w:p>
      <w:pPr>
        <w:jc w:val="center"/>
        <w:rPr>
          <w:rFonts w:ascii="仿宋" w:hAnsi="仿宋" w:eastAsia="仿宋"/>
          <w:sz w:val="28"/>
          <w:szCs w:val="28"/>
        </w:rPr>
      </w:pPr>
    </w:p>
    <w:p>
      <w:pPr>
        <w:rPr>
          <w:rFonts w:ascii="仿宋" w:hAnsi="仿宋" w:eastAsia="仿宋"/>
          <w:sz w:val="72"/>
          <w:szCs w:val="72"/>
        </w:rPr>
      </w:pPr>
    </w:p>
    <w:p>
      <w:pPr>
        <w:rPr>
          <w:rFonts w:ascii="仿宋" w:hAnsi="仿宋" w:eastAsia="仿宋"/>
          <w:sz w:val="72"/>
          <w:szCs w:val="72"/>
        </w:rPr>
      </w:pPr>
    </w:p>
    <w:p>
      <w:pPr>
        <w:rPr>
          <w:rFonts w:ascii="仿宋" w:hAnsi="仿宋" w:eastAsia="仿宋"/>
          <w:sz w:val="72"/>
          <w:szCs w:val="72"/>
        </w:rPr>
      </w:pPr>
    </w:p>
    <w:p>
      <w:pPr>
        <w:rPr>
          <w:rFonts w:ascii="仿宋" w:hAnsi="仿宋" w:eastAsia="仿宋"/>
          <w:sz w:val="72"/>
          <w:szCs w:val="72"/>
        </w:rPr>
      </w:pPr>
    </w:p>
    <w:p>
      <w:pPr>
        <w:rPr>
          <w:rFonts w:ascii="仿宋" w:hAnsi="仿宋" w:eastAsia="仿宋"/>
          <w:sz w:val="72"/>
          <w:szCs w:val="72"/>
        </w:rPr>
      </w:pPr>
    </w:p>
    <w:p>
      <w:pPr>
        <w:rPr>
          <w:rFonts w:ascii="仿宋" w:hAnsi="仿宋" w:eastAsia="仿宋"/>
          <w:sz w:val="72"/>
          <w:szCs w:val="72"/>
        </w:rPr>
      </w:pPr>
    </w:p>
    <w:p>
      <w:pPr>
        <w:rPr>
          <w:rFonts w:ascii="仿宋" w:hAnsi="仿宋" w:eastAsia="仿宋"/>
          <w:sz w:val="72"/>
          <w:szCs w:val="72"/>
        </w:rPr>
      </w:pPr>
    </w:p>
    <w:p>
      <w:pPr>
        <w:rPr>
          <w:rFonts w:ascii="仿宋" w:hAnsi="仿宋" w:eastAsia="仿宋"/>
          <w:sz w:val="72"/>
          <w:szCs w:val="72"/>
        </w:rPr>
      </w:pPr>
    </w:p>
    <w:p>
      <w:pPr>
        <w:rPr>
          <w:rFonts w:ascii="仿宋" w:hAnsi="仿宋" w:eastAsia="仿宋"/>
          <w:sz w:val="72"/>
          <w:szCs w:val="72"/>
        </w:rPr>
      </w:pPr>
    </w:p>
    <w:p>
      <w:pPr>
        <w:rPr>
          <w:rFonts w:ascii="仿宋" w:hAnsi="仿宋" w:eastAsia="仿宋"/>
          <w:sz w:val="72"/>
          <w:szCs w:val="72"/>
        </w:rPr>
      </w:pPr>
    </w:p>
    <w:p>
      <w:pPr>
        <w:rPr>
          <w:rFonts w:ascii="仿宋" w:hAnsi="仿宋" w:eastAsia="仿宋"/>
          <w:sz w:val="72"/>
          <w:szCs w:val="72"/>
        </w:rPr>
      </w:pPr>
    </w:p>
    <w:p>
      <w:pPr>
        <w:jc w:val="center"/>
        <w:rPr>
          <w:rFonts w:ascii="仿宋" w:hAnsi="仿宋" w:eastAsia="仿宋"/>
          <w:sz w:val="72"/>
          <w:szCs w:val="72"/>
        </w:rPr>
      </w:pPr>
    </w:p>
    <w:p>
      <w:pPr>
        <w:jc w:val="center"/>
        <w:rPr>
          <w:rFonts w:ascii="仿宋" w:hAnsi="仿宋" w:eastAsia="仿宋"/>
          <w:sz w:val="72"/>
          <w:szCs w:val="72"/>
        </w:rPr>
      </w:pPr>
    </w:p>
    <w:p>
      <w:pPr>
        <w:jc w:val="center"/>
        <w:rPr>
          <w:rFonts w:ascii="仿宋" w:hAnsi="仿宋" w:eastAsia="仿宋"/>
          <w:sz w:val="72"/>
          <w:szCs w:val="72"/>
        </w:rPr>
      </w:pPr>
    </w:p>
    <w:p>
      <w:pPr>
        <w:jc w:val="center"/>
        <w:rPr>
          <w:rFonts w:ascii="仿宋" w:hAnsi="仿宋" w:eastAsia="仿宋"/>
          <w:sz w:val="72"/>
          <w:szCs w:val="72"/>
        </w:rPr>
      </w:pPr>
    </w:p>
    <w:p>
      <w:pPr>
        <w:jc w:val="center"/>
        <w:rPr>
          <w:rFonts w:ascii="仿宋" w:hAnsi="仿宋" w:eastAsia="仿宋"/>
          <w:sz w:val="72"/>
          <w:szCs w:val="72"/>
        </w:rPr>
      </w:pPr>
    </w:p>
    <w:p>
      <w:pPr>
        <w:jc w:val="center"/>
        <w:rPr>
          <w:rFonts w:ascii="仿宋" w:hAnsi="仿宋" w:eastAsia="仿宋"/>
          <w:sz w:val="72"/>
          <w:szCs w:val="72"/>
        </w:rPr>
      </w:pPr>
    </w:p>
    <w:p>
      <w:pPr>
        <w:jc w:val="center"/>
        <w:rPr>
          <w:rFonts w:ascii="仿宋" w:hAnsi="仿宋" w:eastAsia="仿宋"/>
          <w:sz w:val="72"/>
          <w:szCs w:val="72"/>
        </w:rPr>
      </w:pPr>
      <w:r>
        <w:rPr>
          <w:rFonts w:hint="eastAsia" w:ascii="仿宋" w:hAnsi="仿宋" w:eastAsia="仿宋"/>
          <w:sz w:val="72"/>
          <w:szCs w:val="72"/>
        </w:rPr>
        <w:t>第二部分</w:t>
      </w:r>
    </w:p>
    <w:p>
      <w:pPr>
        <w:jc w:val="center"/>
        <w:rPr>
          <w:rFonts w:ascii="仿宋" w:hAnsi="仿宋" w:eastAsia="仿宋"/>
          <w:sz w:val="72"/>
          <w:szCs w:val="72"/>
        </w:rPr>
      </w:pPr>
    </w:p>
    <w:p>
      <w:pPr>
        <w:jc w:val="center"/>
        <w:rPr>
          <w:rFonts w:ascii="仿宋" w:hAnsi="仿宋" w:eastAsia="仿宋"/>
          <w:sz w:val="72"/>
          <w:szCs w:val="72"/>
        </w:rPr>
      </w:pPr>
      <w:r>
        <w:rPr>
          <w:rFonts w:hint="eastAsia" w:ascii="仿宋" w:hAnsi="仿宋" w:eastAsia="仿宋"/>
          <w:sz w:val="72"/>
          <w:szCs w:val="72"/>
        </w:rPr>
        <w:t>部门决算表</w:t>
      </w:r>
    </w:p>
    <w:p>
      <w:pPr>
        <w:jc w:val="center"/>
        <w:rPr>
          <w:rFonts w:ascii="仿宋" w:hAnsi="仿宋" w:eastAsia="仿宋"/>
          <w:sz w:val="72"/>
          <w:szCs w:val="72"/>
        </w:rPr>
      </w:pPr>
    </w:p>
    <w:p>
      <w:pPr>
        <w:jc w:val="center"/>
        <w:rPr>
          <w:rFonts w:ascii="仿宋" w:hAnsi="仿宋" w:eastAsia="仿宋"/>
          <w:sz w:val="72"/>
          <w:szCs w:val="72"/>
        </w:rPr>
      </w:pPr>
    </w:p>
    <w:p>
      <w:pPr>
        <w:jc w:val="center"/>
        <w:rPr>
          <w:rFonts w:ascii="仿宋" w:hAnsi="仿宋" w:eastAsia="仿宋"/>
          <w:sz w:val="72"/>
          <w:szCs w:val="72"/>
        </w:rPr>
      </w:pPr>
    </w:p>
    <w:p>
      <w:pPr>
        <w:jc w:val="center"/>
        <w:rPr>
          <w:rFonts w:ascii="仿宋" w:hAnsi="仿宋" w:eastAsia="仿宋"/>
          <w:sz w:val="72"/>
          <w:szCs w:val="72"/>
        </w:rPr>
      </w:pPr>
    </w:p>
    <w:tbl>
      <w:tblPr>
        <w:tblStyle w:val="5"/>
        <w:tblpPr w:leftFromText="180" w:rightFromText="180" w:horzAnchor="margin" w:tblpY="-450"/>
        <w:tblW w:w="15522" w:type="dxa"/>
        <w:tblInd w:w="0" w:type="dxa"/>
        <w:tblLayout w:type="autofit"/>
        <w:tblCellMar>
          <w:top w:w="0" w:type="dxa"/>
          <w:left w:w="108" w:type="dxa"/>
          <w:bottom w:w="0" w:type="dxa"/>
          <w:right w:w="108" w:type="dxa"/>
        </w:tblCellMar>
      </w:tblPr>
      <w:tblGrid>
        <w:gridCol w:w="3596"/>
        <w:gridCol w:w="436"/>
        <w:gridCol w:w="1574"/>
        <w:gridCol w:w="3547"/>
        <w:gridCol w:w="435"/>
        <w:gridCol w:w="1573"/>
        <w:gridCol w:w="1394"/>
        <w:gridCol w:w="1394"/>
        <w:gridCol w:w="1573"/>
      </w:tblGrid>
      <w:tr>
        <w:tblPrEx>
          <w:tblCellMar>
            <w:top w:w="0" w:type="dxa"/>
            <w:left w:w="108" w:type="dxa"/>
            <w:bottom w:w="0" w:type="dxa"/>
            <w:right w:w="108" w:type="dxa"/>
          </w:tblCellMar>
        </w:tblPrEx>
        <w:trPr>
          <w:trHeight w:val="285" w:hRule="atLeast"/>
        </w:trPr>
        <w:tc>
          <w:tcPr>
            <w:tcW w:w="3596" w:type="dxa"/>
            <w:tcBorders>
              <w:top w:val="nil"/>
              <w:left w:val="nil"/>
              <w:bottom w:val="nil"/>
              <w:right w:val="nil"/>
            </w:tcBorders>
            <w:shd w:val="clear" w:color="auto" w:fill="auto"/>
            <w:noWrap/>
            <w:vAlign w:val="center"/>
          </w:tcPr>
          <w:p>
            <w:pPr>
              <w:widowControl/>
              <w:jc w:val="left"/>
              <w:rPr>
                <w:rFonts w:ascii="仿宋" w:hAnsi="仿宋" w:eastAsia="仿宋" w:cs="宋体"/>
                <w:kern w:val="0"/>
                <w:sz w:val="24"/>
                <w:szCs w:val="24"/>
              </w:rPr>
            </w:pPr>
            <w:bookmarkStart w:id="2" w:name="RANGE!A1:I22"/>
            <w:bookmarkEnd w:id="2"/>
            <w:bookmarkStart w:id="3" w:name="RANGE!A1:F16"/>
          </w:p>
        </w:tc>
        <w:tc>
          <w:tcPr>
            <w:tcW w:w="436" w:type="dxa"/>
            <w:tcBorders>
              <w:top w:val="nil"/>
              <w:left w:val="nil"/>
              <w:bottom w:val="nil"/>
              <w:right w:val="nil"/>
            </w:tcBorders>
            <w:shd w:val="clear" w:color="auto" w:fill="auto"/>
            <w:noWrap/>
            <w:vAlign w:val="center"/>
          </w:tcPr>
          <w:p>
            <w:pPr>
              <w:widowControl/>
              <w:jc w:val="right"/>
              <w:rPr>
                <w:rFonts w:ascii="仿宋" w:hAnsi="仿宋" w:eastAsia="仿宋" w:cs="宋体"/>
                <w:kern w:val="0"/>
                <w:sz w:val="24"/>
                <w:szCs w:val="24"/>
              </w:rPr>
            </w:pPr>
          </w:p>
        </w:tc>
        <w:tc>
          <w:tcPr>
            <w:tcW w:w="1574" w:type="dxa"/>
            <w:tcBorders>
              <w:top w:val="nil"/>
              <w:left w:val="nil"/>
              <w:bottom w:val="nil"/>
              <w:right w:val="nil"/>
            </w:tcBorders>
            <w:shd w:val="clear" w:color="auto" w:fill="auto"/>
            <w:noWrap/>
            <w:vAlign w:val="center"/>
          </w:tcPr>
          <w:p>
            <w:pPr>
              <w:widowControl/>
              <w:jc w:val="right"/>
              <w:rPr>
                <w:rFonts w:ascii="仿宋" w:hAnsi="仿宋" w:eastAsia="仿宋" w:cs="宋体"/>
                <w:kern w:val="0"/>
                <w:sz w:val="24"/>
                <w:szCs w:val="24"/>
              </w:rPr>
            </w:pPr>
          </w:p>
        </w:tc>
        <w:tc>
          <w:tcPr>
            <w:tcW w:w="3547" w:type="dxa"/>
            <w:tcBorders>
              <w:top w:val="nil"/>
              <w:left w:val="nil"/>
              <w:bottom w:val="nil"/>
              <w:right w:val="nil"/>
            </w:tcBorders>
            <w:shd w:val="clear" w:color="auto" w:fill="auto"/>
            <w:noWrap/>
            <w:vAlign w:val="center"/>
          </w:tcPr>
          <w:p>
            <w:pPr>
              <w:widowControl/>
              <w:jc w:val="right"/>
              <w:rPr>
                <w:rFonts w:ascii="仿宋" w:hAnsi="仿宋" w:eastAsia="仿宋" w:cs="宋体"/>
                <w:kern w:val="0"/>
                <w:sz w:val="24"/>
                <w:szCs w:val="24"/>
              </w:rPr>
            </w:pPr>
          </w:p>
        </w:tc>
        <w:tc>
          <w:tcPr>
            <w:tcW w:w="435" w:type="dxa"/>
            <w:tcBorders>
              <w:top w:val="nil"/>
              <w:left w:val="nil"/>
              <w:bottom w:val="nil"/>
              <w:right w:val="nil"/>
            </w:tcBorders>
            <w:shd w:val="clear" w:color="auto" w:fill="auto"/>
            <w:noWrap/>
            <w:vAlign w:val="center"/>
          </w:tcPr>
          <w:p>
            <w:pPr>
              <w:widowControl/>
              <w:jc w:val="right"/>
              <w:rPr>
                <w:rFonts w:ascii="仿宋" w:hAnsi="仿宋" w:eastAsia="仿宋" w:cs="宋体"/>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ascii="仿宋" w:hAnsi="仿宋" w:eastAsia="仿宋" w:cs="宋体"/>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ascii="仿宋" w:hAnsi="仿宋" w:eastAsia="仿宋" w:cs="宋体"/>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ascii="仿宋" w:hAnsi="仿宋" w:eastAsia="仿宋" w:cs="宋体"/>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ascii="仿宋" w:hAnsi="仿宋" w:eastAsia="仿宋" w:cs="宋体"/>
                <w:kern w:val="0"/>
                <w:sz w:val="24"/>
                <w:szCs w:val="24"/>
              </w:rPr>
            </w:pPr>
          </w:p>
        </w:tc>
      </w:tr>
      <w:bookmarkEnd w:id="3"/>
    </w:tbl>
    <w:p>
      <w:pPr>
        <w:autoSpaceDE w:val="0"/>
        <w:autoSpaceDN w:val="0"/>
        <w:adjustRightInd w:val="0"/>
        <w:ind w:left="315" w:leftChars="150"/>
        <w:jc w:val="left"/>
        <w:rPr>
          <w:rFonts w:ascii="仿宋" w:hAnsi="仿宋" w:eastAsia="仿宋" w:cs="宋体"/>
          <w:kern w:val="0"/>
          <w:sz w:val="24"/>
          <w:szCs w:val="24"/>
        </w:rPr>
      </w:pPr>
    </w:p>
    <w:p>
      <w:pPr>
        <w:pStyle w:val="9"/>
        <w:rPr>
          <w:rFonts w:ascii="仿宋" w:hAnsi="仿宋" w:eastAsia="仿宋"/>
          <w:sz w:val="72"/>
          <w:szCs w:val="72"/>
        </w:rPr>
        <w:sectPr>
          <w:pgSz w:w="11906" w:h="16838"/>
          <w:pgMar w:top="1134" w:right="1134" w:bottom="851" w:left="1134" w:header="851" w:footer="992" w:gutter="0"/>
          <w:cols w:space="425" w:num="1"/>
          <w:docGrid w:linePitch="312" w:charSpace="0"/>
        </w:sectPr>
      </w:pPr>
    </w:p>
    <w:p>
      <w:pPr>
        <w:pStyle w:val="9"/>
        <w:rPr>
          <w:rFonts w:ascii="仿宋" w:hAnsi="仿宋" w:eastAsia="仿宋"/>
          <w:sz w:val="72"/>
          <w:szCs w:val="72"/>
        </w:rPr>
      </w:pPr>
    </w:p>
    <w:p>
      <w:pPr>
        <w:pStyle w:val="9"/>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r>
        <w:rPr>
          <w:rFonts w:hint="eastAsia" w:ascii="仿宋" w:hAnsi="仿宋" w:eastAsia="仿宋"/>
          <w:sz w:val="72"/>
          <w:szCs w:val="72"/>
        </w:rPr>
        <w:t>第三部分</w:t>
      </w:r>
    </w:p>
    <w:p>
      <w:pPr>
        <w:pStyle w:val="9"/>
        <w:jc w:val="center"/>
        <w:rPr>
          <w:rFonts w:ascii="仿宋" w:hAnsi="仿宋" w:eastAsia="仿宋"/>
          <w:sz w:val="70"/>
          <w:szCs w:val="70"/>
        </w:rPr>
      </w:pPr>
    </w:p>
    <w:p>
      <w:pPr>
        <w:pStyle w:val="9"/>
        <w:jc w:val="center"/>
        <w:rPr>
          <w:rFonts w:ascii="仿宋" w:hAnsi="仿宋" w:eastAsia="仿宋"/>
          <w:sz w:val="70"/>
          <w:szCs w:val="70"/>
        </w:rPr>
      </w:pPr>
      <w:r>
        <w:rPr>
          <w:rFonts w:ascii="仿宋" w:hAnsi="仿宋" w:eastAsia="仿宋"/>
          <w:sz w:val="70"/>
          <w:szCs w:val="70"/>
        </w:rPr>
        <w:t>2022</w:t>
      </w:r>
      <w:r>
        <w:rPr>
          <w:rFonts w:hint="eastAsia" w:ascii="仿宋" w:hAnsi="仿宋" w:eastAsia="仿宋"/>
          <w:sz w:val="70"/>
          <w:szCs w:val="70"/>
        </w:rPr>
        <w:t>年度部门决算情况说明</w:t>
      </w:r>
    </w:p>
    <w:p>
      <w:pPr>
        <w:widowControl/>
        <w:jc w:val="left"/>
        <w:rPr>
          <w:rFonts w:ascii="仿宋" w:hAnsi="仿宋" w:eastAsia="仿宋" w:cs="黑体"/>
          <w:color w:val="000000"/>
          <w:kern w:val="0"/>
          <w:sz w:val="70"/>
          <w:szCs w:val="70"/>
        </w:rPr>
      </w:pPr>
      <w:r>
        <w:rPr>
          <w:rFonts w:ascii="仿宋" w:hAnsi="仿宋" w:eastAsia="仿宋"/>
          <w:sz w:val="70"/>
          <w:szCs w:val="70"/>
        </w:rPr>
        <w:br w:type="page"/>
      </w:r>
    </w:p>
    <w:p>
      <w:pPr>
        <w:pStyle w:val="9"/>
        <w:rPr>
          <w:rFonts w:ascii="仿宋" w:hAnsi="仿宋" w:eastAsia="仿宋"/>
          <w:sz w:val="32"/>
          <w:szCs w:val="32"/>
        </w:rPr>
      </w:pPr>
    </w:p>
    <w:p>
      <w:pPr>
        <w:pStyle w:val="9"/>
        <w:rPr>
          <w:rFonts w:ascii="仿宋" w:hAnsi="仿宋" w:eastAsia="仿宋"/>
          <w:b/>
          <w:sz w:val="32"/>
          <w:szCs w:val="32"/>
        </w:rPr>
      </w:pPr>
      <w:r>
        <w:rPr>
          <w:rFonts w:hint="eastAsia" w:ascii="仿宋" w:hAnsi="仿宋" w:eastAsia="仿宋"/>
          <w:b/>
          <w:sz w:val="32"/>
          <w:szCs w:val="32"/>
        </w:rPr>
        <w:t>一、收入支出决算总体情况说明</w:t>
      </w:r>
    </w:p>
    <w:p>
      <w:pPr>
        <w:pStyle w:val="9"/>
        <w:ind w:firstLine="640" w:firstLineChars="200"/>
        <w:rPr>
          <w:rFonts w:ascii="仿宋" w:hAnsi="仿宋" w:eastAsia="仿宋"/>
          <w:sz w:val="32"/>
          <w:szCs w:val="32"/>
        </w:rPr>
      </w:pPr>
      <w:r>
        <w:rPr>
          <w:rFonts w:hint="eastAsia" w:ascii="仿宋" w:hAnsi="仿宋" w:eastAsia="仿宋"/>
          <w:sz w:val="32"/>
          <w:szCs w:val="32"/>
        </w:rPr>
        <w:t>2022年度收、支总计7568.66万元。与上年相比，增加2639.9万元，增加了53.56%，主要是因为增加了武陵山和三峡项目工程的项目资金。</w:t>
      </w:r>
    </w:p>
    <w:p>
      <w:pPr>
        <w:pStyle w:val="9"/>
        <w:rPr>
          <w:rFonts w:ascii="仿宋" w:hAnsi="仿宋" w:eastAsia="仿宋"/>
          <w:b/>
          <w:sz w:val="32"/>
          <w:szCs w:val="32"/>
        </w:rPr>
      </w:pPr>
      <w:r>
        <w:rPr>
          <w:rFonts w:hint="eastAsia" w:ascii="仿宋" w:hAnsi="仿宋" w:eastAsia="仿宋"/>
          <w:b/>
          <w:sz w:val="32"/>
          <w:szCs w:val="32"/>
        </w:rPr>
        <w:t>二、收入决算情况说明</w:t>
      </w:r>
    </w:p>
    <w:p>
      <w:pPr>
        <w:pStyle w:val="9"/>
        <w:ind w:firstLine="640" w:firstLineChars="200"/>
        <w:rPr>
          <w:rFonts w:ascii="仿宋" w:hAnsi="仿宋" w:eastAsia="仿宋"/>
          <w:sz w:val="32"/>
          <w:szCs w:val="32"/>
        </w:rPr>
      </w:pPr>
      <w:r>
        <w:rPr>
          <w:rFonts w:hint="eastAsia" w:ascii="仿宋" w:hAnsi="仿宋" w:eastAsia="仿宋"/>
          <w:sz w:val="32"/>
          <w:szCs w:val="32"/>
        </w:rPr>
        <w:t>本年收入合计3784.33万元，其中：财政拨款收入3572.15万元，占94.39%；上级补助收入0万元，占0%；事业收入0万元，占0%；经营收入0万元，占0%；附属单位上缴收入0万元，占0%；其他收入212.18万元，占5.61%。</w:t>
      </w:r>
    </w:p>
    <w:p>
      <w:pPr>
        <w:pStyle w:val="9"/>
        <w:rPr>
          <w:rFonts w:ascii="仿宋" w:hAnsi="仿宋" w:eastAsia="仿宋"/>
          <w:b/>
          <w:sz w:val="32"/>
          <w:szCs w:val="32"/>
        </w:rPr>
      </w:pPr>
      <w:r>
        <w:rPr>
          <w:rFonts w:hint="eastAsia" w:ascii="仿宋" w:hAnsi="仿宋" w:eastAsia="仿宋"/>
          <w:b/>
          <w:sz w:val="32"/>
          <w:szCs w:val="32"/>
        </w:rPr>
        <w:t>三、支出决算情况说明</w:t>
      </w:r>
    </w:p>
    <w:p>
      <w:pPr>
        <w:pStyle w:val="9"/>
        <w:ind w:firstLine="640" w:firstLineChars="200"/>
        <w:rPr>
          <w:rFonts w:ascii="仿宋" w:hAnsi="仿宋" w:eastAsia="仿宋"/>
          <w:sz w:val="32"/>
          <w:szCs w:val="32"/>
        </w:rPr>
      </w:pPr>
      <w:r>
        <w:rPr>
          <w:rFonts w:hint="eastAsia" w:ascii="仿宋" w:hAnsi="仿宋" w:eastAsia="仿宋"/>
          <w:sz w:val="32"/>
          <w:szCs w:val="32"/>
        </w:rPr>
        <w:t>本年支出合计3784.33万元，其中：基本支出1186.37万元，占31.35%；项目支出2597.96万元，占68.65%；上缴上级支出0万元，占0%；经营支出0万元，占0%；对附属单位补助支出0万元，占0%。</w:t>
      </w:r>
    </w:p>
    <w:p>
      <w:pPr>
        <w:pStyle w:val="9"/>
        <w:rPr>
          <w:rFonts w:ascii="仿宋" w:hAnsi="仿宋" w:eastAsia="仿宋"/>
          <w:b/>
          <w:sz w:val="32"/>
          <w:szCs w:val="32"/>
        </w:rPr>
      </w:pPr>
      <w:r>
        <w:rPr>
          <w:rFonts w:hint="eastAsia" w:ascii="仿宋" w:hAnsi="仿宋" w:eastAsia="仿宋"/>
          <w:b/>
          <w:sz w:val="32"/>
          <w:szCs w:val="32"/>
        </w:rPr>
        <w:t>四、财政拨款收入支出决算总体情况说明</w:t>
      </w:r>
    </w:p>
    <w:p>
      <w:pPr>
        <w:pStyle w:val="9"/>
        <w:ind w:firstLine="645"/>
        <w:rPr>
          <w:rFonts w:ascii="仿宋" w:hAnsi="仿宋" w:eastAsia="仿宋"/>
          <w:sz w:val="32"/>
          <w:szCs w:val="32"/>
        </w:rPr>
      </w:pPr>
      <w:r>
        <w:rPr>
          <w:rFonts w:hint="eastAsia" w:ascii="仿宋" w:hAnsi="仿宋" w:eastAsia="仿宋"/>
          <w:sz w:val="32"/>
          <w:szCs w:val="32"/>
        </w:rPr>
        <w:t>2022年度财政拨款收、支总计7144.3万元，与上年相比，增加3933.66万元,增加</w:t>
      </w:r>
      <w:r>
        <w:rPr>
          <w:rFonts w:hint="eastAsia" w:ascii="仿宋" w:hAnsi="仿宋" w:eastAsia="仿宋"/>
          <w:sz w:val="32"/>
          <w:szCs w:val="32"/>
          <w:lang w:val="en-US" w:eastAsia="zh-CN"/>
        </w:rPr>
        <w:t>122.52</w:t>
      </w:r>
      <w:r>
        <w:rPr>
          <w:rFonts w:hint="eastAsia" w:ascii="仿宋" w:hAnsi="仿宋" w:eastAsia="仿宋"/>
          <w:sz w:val="32"/>
          <w:szCs w:val="32"/>
        </w:rPr>
        <w:t>%，主要是因为增加了武陵山和三峡项目工程的项目资金。</w:t>
      </w:r>
    </w:p>
    <w:p>
      <w:pPr>
        <w:pStyle w:val="9"/>
        <w:ind w:firstLine="645"/>
        <w:rPr>
          <w:rFonts w:ascii="仿宋" w:hAnsi="仿宋" w:eastAsia="仿宋"/>
          <w:b/>
          <w:sz w:val="32"/>
          <w:szCs w:val="32"/>
        </w:rPr>
      </w:pPr>
      <w:r>
        <w:rPr>
          <w:rFonts w:hint="eastAsia" w:ascii="仿宋" w:hAnsi="仿宋" w:eastAsia="仿宋"/>
          <w:b/>
          <w:sz w:val="32"/>
          <w:szCs w:val="32"/>
        </w:rPr>
        <w:t>五、一般公共预算财政拨款支出决算情况说明</w:t>
      </w:r>
    </w:p>
    <w:p>
      <w:pPr>
        <w:pStyle w:val="9"/>
        <w:ind w:firstLine="643" w:firstLineChars="200"/>
        <w:rPr>
          <w:rFonts w:ascii="仿宋" w:hAnsi="仿宋" w:eastAsia="仿宋"/>
          <w:b/>
          <w:sz w:val="32"/>
          <w:szCs w:val="32"/>
        </w:rPr>
      </w:pPr>
      <w:r>
        <w:rPr>
          <w:rFonts w:hint="eastAsia" w:ascii="仿宋" w:hAnsi="仿宋" w:eastAsia="仿宋"/>
          <w:b/>
          <w:sz w:val="32"/>
          <w:szCs w:val="32"/>
        </w:rPr>
        <w:t>（一）财政拨款支出决算总体情况</w:t>
      </w:r>
    </w:p>
    <w:p>
      <w:pPr>
        <w:pStyle w:val="9"/>
        <w:ind w:firstLine="800" w:firstLineChars="250"/>
        <w:rPr>
          <w:rFonts w:ascii="仿宋" w:hAnsi="仿宋" w:eastAsia="仿宋"/>
          <w:sz w:val="32"/>
          <w:szCs w:val="32"/>
        </w:rPr>
      </w:pPr>
      <w:r>
        <w:rPr>
          <w:rFonts w:hint="eastAsia" w:ascii="仿宋" w:hAnsi="仿宋" w:eastAsia="仿宋"/>
          <w:sz w:val="32"/>
          <w:szCs w:val="32"/>
        </w:rPr>
        <w:t>2022年度财政拨款支出</w:t>
      </w:r>
      <w:r>
        <w:rPr>
          <w:rFonts w:hint="eastAsia" w:ascii="仿宋" w:hAnsi="仿宋" w:eastAsia="仿宋"/>
          <w:sz w:val="32"/>
          <w:szCs w:val="32"/>
          <w:lang w:val="en-US" w:eastAsia="zh-CN"/>
        </w:rPr>
        <w:t>3572.15</w:t>
      </w:r>
      <w:r>
        <w:rPr>
          <w:rFonts w:hint="eastAsia" w:ascii="仿宋" w:hAnsi="仿宋" w:eastAsia="仿宋"/>
          <w:sz w:val="32"/>
          <w:szCs w:val="32"/>
        </w:rPr>
        <w:t>万元，占本年支出合计的</w:t>
      </w:r>
      <w:r>
        <w:rPr>
          <w:rFonts w:hint="eastAsia" w:ascii="仿宋" w:hAnsi="仿宋" w:eastAsia="仿宋"/>
          <w:sz w:val="32"/>
          <w:szCs w:val="32"/>
          <w:lang w:val="en-US" w:eastAsia="zh-CN"/>
        </w:rPr>
        <w:t>94.39</w:t>
      </w:r>
      <w:r>
        <w:rPr>
          <w:rFonts w:hint="eastAsia" w:ascii="仿宋" w:hAnsi="仿宋" w:eastAsia="仿宋"/>
          <w:sz w:val="32"/>
          <w:szCs w:val="32"/>
        </w:rPr>
        <w:t>%，与上年相比，</w:t>
      </w:r>
      <w:r>
        <w:rPr>
          <w:rFonts w:hint="eastAsia" w:ascii="仿宋" w:hAnsi="仿宋" w:eastAsia="仿宋"/>
          <w:sz w:val="32"/>
          <w:szCs w:val="32"/>
          <w:highlight w:val="none"/>
        </w:rPr>
        <w:t>财政拨款支出增加</w:t>
      </w:r>
      <w:r>
        <w:rPr>
          <w:rFonts w:hint="eastAsia" w:ascii="仿宋" w:hAnsi="仿宋" w:eastAsia="仿宋"/>
          <w:sz w:val="32"/>
          <w:szCs w:val="32"/>
          <w:highlight w:val="none"/>
          <w:lang w:val="en-US" w:eastAsia="zh-CN"/>
        </w:rPr>
        <w:t>1938.83</w:t>
      </w:r>
      <w:r>
        <w:rPr>
          <w:rFonts w:hint="eastAsia" w:ascii="仿宋" w:hAnsi="仿宋" w:eastAsia="仿宋"/>
          <w:sz w:val="32"/>
          <w:szCs w:val="32"/>
          <w:highlight w:val="none"/>
        </w:rPr>
        <w:t>万元，增加</w:t>
      </w:r>
      <w:r>
        <w:rPr>
          <w:rFonts w:hint="eastAsia" w:ascii="仿宋" w:hAnsi="仿宋" w:eastAsia="仿宋"/>
          <w:sz w:val="32"/>
          <w:szCs w:val="32"/>
          <w:highlight w:val="none"/>
          <w:lang w:val="en-US" w:eastAsia="zh-CN"/>
        </w:rPr>
        <w:t>118.7</w:t>
      </w:r>
      <w:r>
        <w:rPr>
          <w:rFonts w:hint="eastAsia" w:ascii="仿宋" w:hAnsi="仿宋" w:eastAsia="仿宋"/>
          <w:sz w:val="32"/>
          <w:szCs w:val="32"/>
          <w:highlight w:val="none"/>
        </w:rPr>
        <w:t>%，主要</w:t>
      </w:r>
      <w:r>
        <w:rPr>
          <w:rFonts w:hint="eastAsia" w:ascii="仿宋" w:hAnsi="仿宋" w:eastAsia="仿宋"/>
          <w:sz w:val="32"/>
          <w:szCs w:val="32"/>
        </w:rPr>
        <w:t>是因为增加了武陵山和三峡项目工程的项目资金。</w:t>
      </w:r>
    </w:p>
    <w:p>
      <w:pPr>
        <w:pStyle w:val="9"/>
        <w:ind w:firstLine="803" w:firstLineChars="250"/>
        <w:rPr>
          <w:rFonts w:ascii="仿宋" w:hAnsi="仿宋" w:eastAsia="仿宋"/>
          <w:b/>
          <w:sz w:val="32"/>
          <w:szCs w:val="32"/>
        </w:rPr>
      </w:pPr>
      <w:r>
        <w:rPr>
          <w:rFonts w:hint="eastAsia" w:ascii="仿宋" w:hAnsi="仿宋" w:eastAsia="仿宋"/>
          <w:b/>
          <w:sz w:val="32"/>
          <w:szCs w:val="32"/>
        </w:rPr>
        <w:t>（二）财政拨款支出决算结构情况</w:t>
      </w:r>
    </w:p>
    <w:p>
      <w:pPr>
        <w:pStyle w:val="9"/>
        <w:ind w:firstLine="640" w:firstLineChars="200"/>
        <w:rPr>
          <w:rFonts w:ascii="仿宋" w:hAnsi="仿宋" w:eastAsia="仿宋"/>
          <w:sz w:val="32"/>
          <w:szCs w:val="32"/>
        </w:rPr>
      </w:pPr>
      <w:r>
        <w:rPr>
          <w:rFonts w:hint="eastAsia" w:ascii="仿宋" w:hAnsi="仿宋" w:eastAsia="仿宋"/>
          <w:sz w:val="32"/>
          <w:szCs w:val="32"/>
        </w:rPr>
        <w:t>2022年度财政拨款支出</w:t>
      </w:r>
      <w:r>
        <w:rPr>
          <w:rFonts w:hint="eastAsia" w:ascii="仿宋" w:hAnsi="仿宋" w:eastAsia="仿宋"/>
          <w:sz w:val="32"/>
          <w:szCs w:val="32"/>
          <w:lang w:val="en-US" w:eastAsia="zh-CN"/>
        </w:rPr>
        <w:t>3572.15</w:t>
      </w:r>
      <w:r>
        <w:rPr>
          <w:rFonts w:hint="eastAsia" w:ascii="仿宋" w:hAnsi="仿宋" w:eastAsia="仿宋"/>
          <w:sz w:val="32"/>
          <w:szCs w:val="32"/>
        </w:rPr>
        <w:t>万元，主要用于以下方面：一般公共服务支出28万元，占</w:t>
      </w:r>
      <w:r>
        <w:rPr>
          <w:rFonts w:hint="eastAsia" w:ascii="仿宋" w:hAnsi="仿宋" w:eastAsia="仿宋"/>
          <w:sz w:val="32"/>
          <w:szCs w:val="32"/>
          <w:lang w:val="en-US" w:eastAsia="zh-CN"/>
        </w:rPr>
        <w:t>0.78</w:t>
      </w:r>
      <w:r>
        <w:rPr>
          <w:rFonts w:hint="eastAsia" w:ascii="仿宋" w:hAnsi="仿宋" w:eastAsia="仿宋"/>
          <w:sz w:val="32"/>
          <w:szCs w:val="32"/>
        </w:rPr>
        <w:t>%；社会保障和就业支出8.77万元，占</w:t>
      </w:r>
      <w:r>
        <w:rPr>
          <w:rFonts w:hint="eastAsia" w:ascii="仿宋" w:hAnsi="仿宋" w:eastAsia="仿宋"/>
          <w:sz w:val="32"/>
          <w:szCs w:val="32"/>
          <w:lang w:val="en-US" w:eastAsia="zh-CN"/>
        </w:rPr>
        <w:t>0.25</w:t>
      </w:r>
      <w:r>
        <w:rPr>
          <w:rFonts w:hint="eastAsia" w:ascii="仿宋" w:hAnsi="仿宋" w:eastAsia="仿宋"/>
          <w:sz w:val="32"/>
          <w:szCs w:val="32"/>
        </w:rPr>
        <w:t>%;节能环保支出806.52万元，占</w:t>
      </w:r>
      <w:r>
        <w:rPr>
          <w:rFonts w:hint="eastAsia" w:ascii="仿宋" w:hAnsi="仿宋" w:eastAsia="仿宋"/>
          <w:sz w:val="32"/>
          <w:szCs w:val="32"/>
          <w:lang w:val="en-US" w:eastAsia="zh-CN"/>
        </w:rPr>
        <w:t>22.58</w:t>
      </w:r>
      <w:r>
        <w:rPr>
          <w:rFonts w:hint="eastAsia" w:ascii="仿宋" w:hAnsi="仿宋" w:eastAsia="仿宋"/>
          <w:sz w:val="32"/>
          <w:szCs w:val="32"/>
        </w:rPr>
        <w:t>%；</w:t>
      </w:r>
      <w:r>
        <w:rPr>
          <w:rFonts w:hint="eastAsia" w:ascii="仿宋" w:hAnsi="仿宋" w:eastAsia="仿宋"/>
          <w:sz w:val="32"/>
          <w:szCs w:val="32"/>
          <w:lang w:eastAsia="zh-CN"/>
        </w:rPr>
        <w:t>城乡社区</w:t>
      </w:r>
      <w:r>
        <w:rPr>
          <w:rFonts w:hint="eastAsia" w:ascii="仿宋" w:hAnsi="仿宋" w:eastAsia="仿宋"/>
          <w:sz w:val="32"/>
          <w:szCs w:val="32"/>
        </w:rPr>
        <w:t>支出</w:t>
      </w:r>
      <w:r>
        <w:rPr>
          <w:rFonts w:hint="eastAsia" w:ascii="仿宋" w:hAnsi="仿宋" w:eastAsia="仿宋"/>
          <w:sz w:val="32"/>
          <w:szCs w:val="32"/>
          <w:lang w:val="en-US" w:eastAsia="zh-CN"/>
        </w:rPr>
        <w:t>0.5</w:t>
      </w:r>
      <w:r>
        <w:rPr>
          <w:rFonts w:hint="eastAsia" w:ascii="仿宋" w:hAnsi="仿宋" w:eastAsia="仿宋"/>
          <w:sz w:val="32"/>
          <w:szCs w:val="32"/>
        </w:rPr>
        <w:t>万元，占</w:t>
      </w:r>
      <w:r>
        <w:rPr>
          <w:rFonts w:hint="eastAsia" w:ascii="仿宋" w:hAnsi="仿宋" w:eastAsia="仿宋"/>
          <w:sz w:val="32"/>
          <w:szCs w:val="32"/>
          <w:lang w:val="en-US" w:eastAsia="zh-CN"/>
        </w:rPr>
        <w:t>0.01</w:t>
      </w:r>
      <w:r>
        <w:rPr>
          <w:rFonts w:hint="eastAsia" w:ascii="仿宋" w:hAnsi="仿宋" w:eastAsia="仿宋"/>
          <w:sz w:val="32"/>
          <w:szCs w:val="32"/>
        </w:rPr>
        <w:t>%；农林水支出</w:t>
      </w:r>
      <w:r>
        <w:rPr>
          <w:rFonts w:hint="eastAsia" w:ascii="仿宋" w:hAnsi="仿宋" w:eastAsia="仿宋"/>
          <w:sz w:val="32"/>
          <w:szCs w:val="32"/>
          <w:lang w:val="en-US" w:eastAsia="zh-CN"/>
        </w:rPr>
        <w:t>2657.30</w:t>
      </w:r>
      <w:r>
        <w:rPr>
          <w:rFonts w:hint="eastAsia" w:ascii="仿宋" w:hAnsi="仿宋" w:eastAsia="仿宋"/>
          <w:sz w:val="32"/>
          <w:szCs w:val="32"/>
        </w:rPr>
        <w:t>万元，占</w:t>
      </w:r>
      <w:r>
        <w:rPr>
          <w:rFonts w:hint="eastAsia" w:ascii="仿宋" w:hAnsi="仿宋" w:eastAsia="仿宋"/>
          <w:sz w:val="32"/>
          <w:szCs w:val="32"/>
          <w:lang w:val="en-US" w:eastAsia="zh-CN"/>
        </w:rPr>
        <w:t>74.39</w:t>
      </w:r>
      <w:r>
        <w:rPr>
          <w:rFonts w:hint="eastAsia" w:ascii="仿宋" w:hAnsi="仿宋" w:eastAsia="仿宋"/>
          <w:sz w:val="32"/>
          <w:szCs w:val="32"/>
        </w:rPr>
        <w:t>%；住房保障支出61.07万元，占</w:t>
      </w:r>
      <w:r>
        <w:rPr>
          <w:rFonts w:hint="eastAsia" w:ascii="仿宋" w:hAnsi="仿宋" w:eastAsia="仿宋"/>
          <w:sz w:val="32"/>
          <w:szCs w:val="32"/>
          <w:lang w:val="en-US" w:eastAsia="zh-CN"/>
        </w:rPr>
        <w:t>1.71</w:t>
      </w:r>
      <w:r>
        <w:rPr>
          <w:rFonts w:hint="eastAsia" w:ascii="仿宋" w:hAnsi="仿宋" w:eastAsia="仿宋"/>
          <w:sz w:val="32"/>
          <w:szCs w:val="32"/>
        </w:rPr>
        <w:t>%</w:t>
      </w:r>
      <w:r>
        <w:rPr>
          <w:rFonts w:hint="eastAsia" w:ascii="仿宋" w:hAnsi="仿宋" w:eastAsia="仿宋"/>
          <w:sz w:val="32"/>
          <w:szCs w:val="32"/>
          <w:lang w:val="en-US" w:eastAsia="zh-CN"/>
        </w:rPr>
        <w:t>;</w:t>
      </w:r>
      <w:r>
        <w:rPr>
          <w:rFonts w:hint="eastAsia" w:ascii="仿宋" w:hAnsi="仿宋" w:eastAsia="仿宋"/>
          <w:sz w:val="32"/>
          <w:szCs w:val="32"/>
          <w:lang w:eastAsia="zh-CN"/>
        </w:rPr>
        <w:t>其他</w:t>
      </w:r>
      <w:r>
        <w:rPr>
          <w:rFonts w:hint="eastAsia" w:ascii="仿宋" w:hAnsi="仿宋" w:eastAsia="仿宋"/>
          <w:sz w:val="32"/>
          <w:szCs w:val="32"/>
        </w:rPr>
        <w:t>支出</w:t>
      </w:r>
      <w:r>
        <w:rPr>
          <w:rFonts w:hint="eastAsia" w:ascii="仿宋" w:hAnsi="仿宋" w:eastAsia="仿宋"/>
          <w:sz w:val="32"/>
          <w:szCs w:val="32"/>
          <w:lang w:val="en-US" w:eastAsia="zh-CN"/>
        </w:rPr>
        <w:t>10</w:t>
      </w:r>
      <w:r>
        <w:rPr>
          <w:rFonts w:hint="eastAsia" w:ascii="仿宋" w:hAnsi="仿宋" w:eastAsia="仿宋"/>
          <w:sz w:val="32"/>
          <w:szCs w:val="32"/>
        </w:rPr>
        <w:t>万元，占</w:t>
      </w:r>
      <w:r>
        <w:rPr>
          <w:rFonts w:hint="eastAsia" w:ascii="仿宋" w:hAnsi="仿宋" w:eastAsia="仿宋"/>
          <w:sz w:val="32"/>
          <w:szCs w:val="32"/>
          <w:lang w:val="en-US" w:eastAsia="zh-CN"/>
        </w:rPr>
        <w:t>0.28</w:t>
      </w:r>
      <w:r>
        <w:rPr>
          <w:rFonts w:hint="eastAsia" w:ascii="仿宋" w:hAnsi="仿宋" w:eastAsia="仿宋"/>
          <w:sz w:val="32"/>
          <w:szCs w:val="32"/>
        </w:rPr>
        <w:t>%。</w:t>
      </w:r>
    </w:p>
    <w:p>
      <w:pPr>
        <w:pStyle w:val="9"/>
        <w:ind w:firstLine="803" w:firstLineChars="250"/>
        <w:rPr>
          <w:rFonts w:ascii="仿宋" w:hAnsi="仿宋" w:eastAsia="仿宋"/>
          <w:b/>
          <w:sz w:val="32"/>
          <w:szCs w:val="32"/>
        </w:rPr>
      </w:pPr>
      <w:r>
        <w:rPr>
          <w:rFonts w:hint="eastAsia" w:ascii="仿宋" w:hAnsi="仿宋" w:eastAsia="仿宋"/>
          <w:b/>
          <w:sz w:val="32"/>
          <w:szCs w:val="32"/>
        </w:rPr>
        <w:t>（三）财政拨款支出决算具体情况</w:t>
      </w:r>
    </w:p>
    <w:p>
      <w:pPr>
        <w:pStyle w:val="9"/>
        <w:ind w:firstLine="800" w:firstLineChars="250"/>
        <w:rPr>
          <w:rFonts w:ascii="仿宋" w:hAnsi="仿宋" w:eastAsia="仿宋"/>
          <w:sz w:val="32"/>
          <w:szCs w:val="32"/>
        </w:rPr>
      </w:pPr>
      <w:r>
        <w:rPr>
          <w:rFonts w:hint="eastAsia" w:ascii="仿宋" w:hAnsi="仿宋" w:eastAsia="仿宋"/>
          <w:sz w:val="32"/>
          <w:szCs w:val="32"/>
        </w:rPr>
        <w:t>2022年度财政拨款支出年初预算数为1039.48万元，支出决算数为</w:t>
      </w:r>
      <w:r>
        <w:rPr>
          <w:rFonts w:hint="eastAsia" w:ascii="仿宋" w:hAnsi="仿宋" w:eastAsia="仿宋"/>
          <w:sz w:val="32"/>
          <w:szCs w:val="32"/>
          <w:lang w:val="en-US" w:eastAsia="zh-CN"/>
        </w:rPr>
        <w:t>3572.15</w:t>
      </w:r>
      <w:r>
        <w:rPr>
          <w:rFonts w:hint="eastAsia" w:ascii="仿宋" w:hAnsi="仿宋" w:eastAsia="仿宋"/>
          <w:sz w:val="32"/>
          <w:szCs w:val="32"/>
        </w:rPr>
        <w:t>万元，</w:t>
      </w:r>
      <w:r>
        <w:rPr>
          <w:rFonts w:hint="eastAsia" w:ascii="仿宋" w:hAnsi="仿宋" w:eastAsia="仿宋"/>
          <w:sz w:val="32"/>
          <w:szCs w:val="32"/>
          <w:highlight w:val="none"/>
        </w:rPr>
        <w:t>完成年初预算的</w:t>
      </w:r>
      <w:r>
        <w:rPr>
          <w:rFonts w:hint="eastAsia" w:ascii="仿宋" w:hAnsi="仿宋" w:eastAsia="仿宋"/>
          <w:sz w:val="32"/>
          <w:szCs w:val="32"/>
          <w:highlight w:val="none"/>
          <w:lang w:val="en-US" w:eastAsia="zh-CN"/>
        </w:rPr>
        <w:t>343.65</w:t>
      </w:r>
      <w:r>
        <w:rPr>
          <w:rFonts w:hint="eastAsia" w:ascii="仿宋" w:hAnsi="仿宋" w:eastAsia="仿宋"/>
          <w:sz w:val="32"/>
          <w:szCs w:val="32"/>
          <w:highlight w:val="none"/>
        </w:rPr>
        <w:t>%，</w:t>
      </w:r>
      <w:r>
        <w:rPr>
          <w:rFonts w:hint="eastAsia" w:ascii="仿宋" w:hAnsi="仿宋" w:eastAsia="仿宋"/>
          <w:sz w:val="32"/>
          <w:szCs w:val="32"/>
        </w:rPr>
        <w:t>其中：</w:t>
      </w:r>
    </w:p>
    <w:p>
      <w:pPr>
        <w:pStyle w:val="9"/>
        <w:ind w:firstLine="800" w:firstLineChars="250"/>
        <w:rPr>
          <w:rFonts w:ascii="仿宋" w:hAnsi="仿宋" w:eastAsia="仿宋"/>
          <w:sz w:val="32"/>
          <w:szCs w:val="32"/>
        </w:rPr>
      </w:pPr>
      <w:r>
        <w:rPr>
          <w:rFonts w:hint="eastAsia" w:ascii="仿宋" w:hAnsi="仿宋" w:eastAsia="仿宋"/>
          <w:sz w:val="32"/>
          <w:szCs w:val="32"/>
        </w:rPr>
        <w:t>按经济分类，工资福利支出985.18万元，比上年增加12.76万元，商品服务支出</w:t>
      </w:r>
      <w:r>
        <w:rPr>
          <w:rFonts w:hint="eastAsia" w:ascii="仿宋" w:hAnsi="仿宋" w:eastAsia="仿宋"/>
          <w:sz w:val="32"/>
          <w:szCs w:val="32"/>
          <w:lang w:val="en-US" w:eastAsia="zh-CN"/>
        </w:rPr>
        <w:t>99.97</w:t>
      </w:r>
      <w:r>
        <w:rPr>
          <w:rFonts w:hint="eastAsia" w:ascii="仿宋" w:hAnsi="仿宋" w:eastAsia="仿宋"/>
          <w:sz w:val="32"/>
          <w:szCs w:val="32"/>
        </w:rPr>
        <w:t>万元，比上年</w:t>
      </w:r>
      <w:r>
        <w:rPr>
          <w:rFonts w:hint="eastAsia" w:ascii="仿宋" w:hAnsi="仿宋" w:eastAsia="仿宋"/>
          <w:sz w:val="32"/>
          <w:szCs w:val="32"/>
          <w:lang w:eastAsia="zh-CN"/>
        </w:rPr>
        <w:t>减少</w:t>
      </w:r>
      <w:r>
        <w:rPr>
          <w:rFonts w:hint="eastAsia" w:ascii="仿宋" w:hAnsi="仿宋" w:eastAsia="仿宋"/>
          <w:sz w:val="32"/>
          <w:szCs w:val="32"/>
          <w:lang w:val="en-US" w:eastAsia="zh-CN"/>
        </w:rPr>
        <w:t>68.5</w:t>
      </w:r>
      <w:r>
        <w:rPr>
          <w:rFonts w:hint="eastAsia" w:ascii="仿宋" w:hAnsi="仿宋" w:eastAsia="仿宋"/>
          <w:sz w:val="32"/>
          <w:szCs w:val="32"/>
        </w:rPr>
        <w:t>万元，对个人和家庭的补助27.57万元，比上年减少47.99万元，资本性支出</w:t>
      </w:r>
      <w:r>
        <w:rPr>
          <w:rFonts w:hint="eastAsia" w:ascii="仿宋" w:hAnsi="仿宋" w:eastAsia="仿宋"/>
          <w:sz w:val="32"/>
          <w:szCs w:val="32"/>
          <w:lang w:val="en-US" w:eastAsia="zh-CN"/>
        </w:rPr>
        <w:t>0</w:t>
      </w:r>
      <w:r>
        <w:rPr>
          <w:rFonts w:hint="eastAsia" w:ascii="仿宋" w:hAnsi="仿宋" w:eastAsia="仿宋"/>
          <w:sz w:val="32"/>
          <w:szCs w:val="32"/>
        </w:rPr>
        <w:t>万元，比上年减少</w:t>
      </w:r>
      <w:r>
        <w:rPr>
          <w:rFonts w:hint="eastAsia" w:ascii="仿宋" w:hAnsi="仿宋" w:eastAsia="仿宋"/>
          <w:sz w:val="32"/>
          <w:szCs w:val="32"/>
          <w:lang w:val="en-US" w:eastAsia="zh-CN"/>
        </w:rPr>
        <w:t>3.08</w:t>
      </w:r>
      <w:r>
        <w:rPr>
          <w:rFonts w:hint="eastAsia" w:ascii="仿宋" w:hAnsi="仿宋" w:eastAsia="仿宋"/>
          <w:sz w:val="32"/>
          <w:szCs w:val="32"/>
        </w:rPr>
        <w:t>万元，项目支出</w:t>
      </w:r>
      <w:r>
        <w:rPr>
          <w:rFonts w:hint="eastAsia" w:ascii="仿宋" w:hAnsi="仿宋" w:eastAsia="仿宋"/>
          <w:sz w:val="32"/>
          <w:szCs w:val="32"/>
          <w:lang w:val="en-US" w:eastAsia="zh-CN"/>
        </w:rPr>
        <w:t>2459.43</w:t>
      </w:r>
      <w:r>
        <w:rPr>
          <w:rFonts w:hint="eastAsia" w:ascii="仿宋" w:hAnsi="仿宋" w:eastAsia="仿宋"/>
          <w:sz w:val="32"/>
          <w:szCs w:val="32"/>
        </w:rPr>
        <w:t>万元，比上年增加</w:t>
      </w:r>
      <w:r>
        <w:rPr>
          <w:rFonts w:hint="eastAsia" w:ascii="仿宋" w:hAnsi="仿宋" w:eastAsia="仿宋"/>
          <w:sz w:val="32"/>
          <w:szCs w:val="32"/>
          <w:lang w:val="en-US" w:eastAsia="zh-CN"/>
        </w:rPr>
        <w:t>2052.63</w:t>
      </w:r>
      <w:r>
        <w:rPr>
          <w:rFonts w:hint="eastAsia" w:ascii="仿宋" w:hAnsi="仿宋" w:eastAsia="仿宋"/>
          <w:sz w:val="32"/>
          <w:szCs w:val="32"/>
        </w:rPr>
        <w:t>万元。</w:t>
      </w:r>
    </w:p>
    <w:p>
      <w:pPr>
        <w:pStyle w:val="9"/>
        <w:rPr>
          <w:rFonts w:ascii="仿宋" w:hAnsi="仿宋" w:eastAsia="仿宋"/>
          <w:b/>
          <w:sz w:val="32"/>
          <w:szCs w:val="32"/>
        </w:rPr>
      </w:pPr>
      <w:r>
        <w:rPr>
          <w:rFonts w:hint="eastAsia" w:ascii="仿宋" w:hAnsi="仿宋" w:eastAsia="仿宋"/>
          <w:b/>
          <w:sz w:val="32"/>
          <w:szCs w:val="32"/>
        </w:rPr>
        <w:t>六、一般公共预算财政拨款基本支出决算情况说明</w:t>
      </w:r>
    </w:p>
    <w:p>
      <w:pPr>
        <w:pStyle w:val="9"/>
        <w:ind w:firstLine="640" w:firstLineChars="200"/>
        <w:rPr>
          <w:rFonts w:ascii="仿宋" w:hAnsi="仿宋" w:eastAsia="仿宋"/>
          <w:sz w:val="32"/>
          <w:szCs w:val="32"/>
        </w:rPr>
      </w:pPr>
      <w:r>
        <w:rPr>
          <w:rFonts w:hint="eastAsia" w:ascii="仿宋" w:hAnsi="仿宋" w:eastAsia="仿宋"/>
          <w:sz w:val="32"/>
          <w:szCs w:val="32"/>
        </w:rPr>
        <w:t>2022年度财政拨款基本支出1102.22万元，其中：人员经费1012.75万元，占基本支出的91.88%,主要包括基本工资382.17万元、津贴补贴185.61万元、奖金151.27万元、伙食补助费36.15万元、机关事业单位基本养老保险缴费78.53万元、职工基本医疗保险缴费43.73万元、其他社会保障缴费10.87万元、住房公积金80.71万元、其他工资福利支出16.14万元、对个人和家庭的补助27.57万元;公用经费89.47万元，占基本支出的8.12%，主要包括办公费9.7万元、印刷费0.35万元、水费1.88万元、电费9.01万元、邮电费0.3万元、物业管理费4.75万元、差旅费8.17万元、维修（护）费2.93万元、培训费2.2万元、公务接待费3.74万元、工会经费45.75万元、公务用车运行维护费0.69万元。</w:t>
      </w:r>
    </w:p>
    <w:p>
      <w:pPr>
        <w:pStyle w:val="9"/>
        <w:rPr>
          <w:rFonts w:ascii="仿宋" w:hAnsi="仿宋" w:eastAsia="仿宋"/>
          <w:b/>
          <w:sz w:val="32"/>
          <w:szCs w:val="32"/>
        </w:rPr>
      </w:pPr>
      <w:r>
        <w:rPr>
          <w:rFonts w:hint="eastAsia" w:ascii="仿宋" w:hAnsi="仿宋" w:eastAsia="仿宋"/>
          <w:b/>
          <w:sz w:val="32"/>
          <w:szCs w:val="32"/>
        </w:rPr>
        <w:t>七、一般公共预算财政拨款三公经费支出决算情况说明</w:t>
      </w:r>
    </w:p>
    <w:p>
      <w:pPr>
        <w:pStyle w:val="9"/>
        <w:rPr>
          <w:rFonts w:ascii="仿宋" w:hAnsi="仿宋" w:eastAsia="仿宋"/>
          <w:b/>
          <w:sz w:val="32"/>
          <w:szCs w:val="32"/>
        </w:rPr>
      </w:pPr>
      <w:r>
        <w:rPr>
          <w:rFonts w:hint="eastAsia" w:ascii="仿宋" w:hAnsi="仿宋" w:eastAsia="仿宋"/>
          <w:b/>
          <w:sz w:val="32"/>
          <w:szCs w:val="32"/>
        </w:rPr>
        <w:t>（一）“三公”经费财政拨款支出决算总体情况说明</w:t>
      </w:r>
    </w:p>
    <w:p>
      <w:pPr>
        <w:pStyle w:val="9"/>
        <w:ind w:firstLine="800" w:firstLineChars="250"/>
        <w:rPr>
          <w:rFonts w:ascii="仿宋" w:hAnsi="仿宋" w:eastAsia="仿宋"/>
          <w:sz w:val="32"/>
          <w:szCs w:val="32"/>
        </w:rPr>
      </w:pPr>
      <w:r>
        <w:rPr>
          <w:rFonts w:hint="eastAsia" w:ascii="仿宋" w:hAnsi="仿宋" w:eastAsia="仿宋"/>
          <w:sz w:val="32"/>
          <w:szCs w:val="32"/>
        </w:rPr>
        <w:t>“三公”经费财政拨款支出预算为0万元，支出决算为4.43万元，其中：</w:t>
      </w:r>
    </w:p>
    <w:p>
      <w:pPr>
        <w:pStyle w:val="9"/>
        <w:ind w:firstLine="800" w:firstLineChars="250"/>
        <w:rPr>
          <w:rFonts w:ascii="仿宋" w:hAnsi="仿宋" w:eastAsia="仿宋"/>
          <w:sz w:val="32"/>
          <w:szCs w:val="32"/>
        </w:rPr>
      </w:pPr>
      <w:r>
        <w:rPr>
          <w:rFonts w:hint="eastAsia" w:ascii="仿宋" w:hAnsi="仿宋" w:eastAsia="仿宋"/>
          <w:sz w:val="32"/>
          <w:szCs w:val="32"/>
        </w:rPr>
        <w:t>因公出国（境）费支出预算为0万元，支出决算为0万元。</w:t>
      </w:r>
    </w:p>
    <w:p>
      <w:pPr>
        <w:pStyle w:val="9"/>
        <w:ind w:firstLine="800" w:firstLineChars="250"/>
        <w:rPr>
          <w:rFonts w:ascii="仿宋" w:hAnsi="仿宋" w:eastAsia="仿宋"/>
          <w:sz w:val="32"/>
          <w:szCs w:val="32"/>
        </w:rPr>
      </w:pPr>
      <w:r>
        <w:rPr>
          <w:rFonts w:hint="eastAsia" w:ascii="仿宋" w:hAnsi="仿宋" w:eastAsia="仿宋"/>
          <w:sz w:val="32"/>
          <w:szCs w:val="32"/>
        </w:rPr>
        <w:t>公务接待费支出预算为0万元，支出决算为3.74万元</w:t>
      </w:r>
      <w:r>
        <w:rPr>
          <w:rFonts w:hint="eastAsia" w:ascii="仿宋" w:hAnsi="仿宋" w:eastAsia="仿宋"/>
          <w:sz w:val="32"/>
          <w:szCs w:val="32"/>
          <w:highlight w:val="none"/>
        </w:rPr>
        <w:t>，决算数大于预算数的主要原因是欧美黑杨清退及湿地调查接待次数增多。</w:t>
      </w:r>
    </w:p>
    <w:p>
      <w:pPr>
        <w:pStyle w:val="9"/>
        <w:ind w:firstLine="640" w:firstLineChars="200"/>
        <w:rPr>
          <w:rFonts w:hint="eastAsia" w:ascii="仿宋" w:hAnsi="仿宋" w:eastAsia="仿宋"/>
          <w:sz w:val="32"/>
          <w:szCs w:val="32"/>
        </w:rPr>
      </w:pPr>
      <w:r>
        <w:rPr>
          <w:rFonts w:hint="eastAsia" w:ascii="仿宋" w:hAnsi="仿宋" w:eastAsia="仿宋"/>
          <w:sz w:val="32"/>
          <w:szCs w:val="32"/>
        </w:rPr>
        <w:t>公务用车购置费及运行维护费支出预算为0万元，支出决算为0.69万元，</w:t>
      </w:r>
      <w:r>
        <w:rPr>
          <w:rFonts w:hint="eastAsia" w:ascii="仿宋" w:hAnsi="仿宋" w:eastAsia="仿宋"/>
          <w:sz w:val="32"/>
          <w:szCs w:val="32"/>
          <w:highlight w:val="none"/>
        </w:rPr>
        <w:t>决算数大于预算数的主要原因是</w:t>
      </w:r>
      <w:r>
        <w:rPr>
          <w:rFonts w:hint="eastAsia" w:ascii="仿宋" w:hAnsi="仿宋" w:eastAsia="仿宋" w:cs="宋体"/>
          <w:sz w:val="32"/>
          <w:szCs w:val="32"/>
          <w:highlight w:val="none"/>
        </w:rPr>
        <w:t>增加森林防火执法车一台</w:t>
      </w:r>
      <w:r>
        <w:rPr>
          <w:rFonts w:hint="eastAsia" w:ascii="仿宋" w:hAnsi="仿宋" w:eastAsia="仿宋"/>
          <w:sz w:val="32"/>
          <w:szCs w:val="32"/>
          <w:highlight w:val="none"/>
        </w:rPr>
        <w:t>。</w:t>
      </w:r>
    </w:p>
    <w:p>
      <w:pPr>
        <w:pStyle w:val="9"/>
        <w:ind w:firstLine="640" w:firstLineChars="200"/>
        <w:rPr>
          <w:rFonts w:ascii="仿宋" w:hAnsi="仿宋" w:eastAsia="仿宋"/>
          <w:sz w:val="32"/>
          <w:szCs w:val="32"/>
        </w:rPr>
      </w:pPr>
      <w:r>
        <w:rPr>
          <w:rFonts w:hint="eastAsia" w:ascii="仿宋" w:hAnsi="仿宋" w:eastAsia="仿宋"/>
          <w:sz w:val="32"/>
          <w:szCs w:val="32"/>
        </w:rPr>
        <w:t>2022年“三公”经费决算比2021年减少2.47万元，原因厉行节约缩减开支。</w:t>
      </w:r>
    </w:p>
    <w:p>
      <w:pPr>
        <w:pStyle w:val="9"/>
        <w:rPr>
          <w:rFonts w:ascii="仿宋" w:hAnsi="仿宋" w:eastAsia="仿宋"/>
          <w:b/>
          <w:sz w:val="32"/>
          <w:szCs w:val="32"/>
        </w:rPr>
      </w:pPr>
      <w:r>
        <w:rPr>
          <w:rFonts w:hint="eastAsia" w:ascii="仿宋" w:hAnsi="仿宋" w:eastAsia="仿宋"/>
          <w:b/>
          <w:sz w:val="32"/>
          <w:szCs w:val="32"/>
        </w:rPr>
        <w:t>（二）“三公”经费财政拨款支出决算具体情况说明</w:t>
      </w:r>
    </w:p>
    <w:p>
      <w:pPr>
        <w:pStyle w:val="9"/>
        <w:ind w:firstLine="640" w:firstLineChars="200"/>
        <w:rPr>
          <w:rFonts w:ascii="仿宋" w:hAnsi="仿宋" w:eastAsia="仿宋"/>
          <w:sz w:val="32"/>
          <w:szCs w:val="32"/>
        </w:rPr>
      </w:pPr>
      <w:r>
        <w:rPr>
          <w:rFonts w:hint="eastAsia" w:ascii="仿宋" w:hAnsi="仿宋" w:eastAsia="仿宋"/>
          <w:sz w:val="32"/>
          <w:szCs w:val="32"/>
        </w:rPr>
        <w:t>2022年度“三公”经费财政拨款支出决算中，公务接待费支出决算3.74万元，占84.42%,因公出国（境）费支出决算0万元，占0%,公务用车购置费及运行维护费支出决算0.69万元，占15.58%。其中：</w:t>
      </w:r>
    </w:p>
    <w:p>
      <w:pPr>
        <w:pStyle w:val="9"/>
        <w:ind w:firstLine="640" w:firstLineChars="200"/>
        <w:rPr>
          <w:rFonts w:ascii="仿宋" w:hAnsi="仿宋" w:eastAsia="仿宋"/>
          <w:sz w:val="32"/>
          <w:szCs w:val="32"/>
        </w:rPr>
      </w:pPr>
      <w:r>
        <w:rPr>
          <w:rFonts w:hint="eastAsia" w:ascii="仿宋" w:hAnsi="仿宋" w:eastAsia="仿宋"/>
          <w:sz w:val="32"/>
          <w:szCs w:val="32"/>
        </w:rPr>
        <w:t>1、因公出国（境）费支出决算为0万元，全年安排因公出国（境）团组0个，累计0人次。</w:t>
      </w:r>
    </w:p>
    <w:p>
      <w:pPr>
        <w:pStyle w:val="9"/>
        <w:ind w:firstLine="800" w:firstLineChars="250"/>
        <w:rPr>
          <w:rFonts w:ascii="仿宋" w:hAnsi="仿宋" w:eastAsia="仿宋"/>
          <w:sz w:val="32"/>
          <w:szCs w:val="32"/>
          <w:highlight w:val="none"/>
        </w:rPr>
      </w:pPr>
      <w:r>
        <w:rPr>
          <w:rFonts w:hint="eastAsia" w:ascii="仿宋" w:hAnsi="仿宋" w:eastAsia="仿宋"/>
          <w:sz w:val="32"/>
          <w:szCs w:val="32"/>
        </w:rPr>
        <w:t>2、公务接待费支出决算为3.74万元，全年共接待来访118批次930人次，</w:t>
      </w:r>
      <w:r>
        <w:rPr>
          <w:rFonts w:hint="eastAsia" w:ascii="仿宋" w:hAnsi="仿宋" w:eastAsia="仿宋"/>
          <w:sz w:val="32"/>
          <w:szCs w:val="32"/>
          <w:highlight w:val="none"/>
        </w:rPr>
        <w:t>主要是欧美黑杨清退、南洞庭湖湿地修复工作等发生的接待支出。</w:t>
      </w:r>
    </w:p>
    <w:p>
      <w:pPr>
        <w:ind w:firstLine="800" w:firstLineChars="250"/>
        <w:rPr>
          <w:rFonts w:ascii="仿宋" w:hAnsi="仿宋" w:eastAsia="仿宋" w:cs="黑体"/>
          <w:color w:val="000000"/>
          <w:kern w:val="0"/>
          <w:sz w:val="32"/>
          <w:szCs w:val="32"/>
        </w:rPr>
      </w:pPr>
      <w:r>
        <w:rPr>
          <w:rFonts w:hint="eastAsia" w:ascii="仿宋" w:hAnsi="仿宋" w:eastAsia="仿宋"/>
          <w:sz w:val="32"/>
          <w:szCs w:val="32"/>
        </w:rPr>
        <w:t>3、公务用车购置费及运行维护费支出决算为0.69万元，其中：公务用车购置费0万元</w:t>
      </w:r>
      <w:r>
        <w:rPr>
          <w:rFonts w:hint="eastAsia" w:ascii="仿宋" w:hAnsi="仿宋" w:eastAsia="仿宋"/>
          <w:color w:val="000000" w:themeColor="text1"/>
          <w:sz w:val="32"/>
          <w:szCs w:val="32"/>
        </w:rPr>
        <w:t>。</w:t>
      </w:r>
      <w:r>
        <w:rPr>
          <w:rFonts w:hint="eastAsia" w:ascii="仿宋" w:hAnsi="仿宋" w:eastAsia="仿宋"/>
          <w:sz w:val="32"/>
          <w:szCs w:val="32"/>
        </w:rPr>
        <w:t>公务用车运行维护费0.69万元，主要是公务车保险及加油支出，截止2022年12月31日，我单位开支财政拨款的公务用车保有量为1辆。</w:t>
      </w:r>
    </w:p>
    <w:p>
      <w:pPr>
        <w:pStyle w:val="9"/>
        <w:rPr>
          <w:rFonts w:ascii="仿宋" w:hAnsi="仿宋" w:eastAsia="仿宋"/>
          <w:b/>
          <w:sz w:val="32"/>
          <w:szCs w:val="32"/>
        </w:rPr>
      </w:pPr>
      <w:r>
        <w:rPr>
          <w:rFonts w:hint="eastAsia" w:ascii="仿宋" w:hAnsi="仿宋" w:eastAsia="仿宋"/>
          <w:b/>
          <w:sz w:val="32"/>
          <w:szCs w:val="32"/>
        </w:rPr>
        <w:t>八、政府性基金预算收入支出决算情况</w:t>
      </w:r>
    </w:p>
    <w:p>
      <w:pPr>
        <w:pStyle w:val="9"/>
        <w:rPr>
          <w:rFonts w:ascii="仿宋" w:hAnsi="仿宋" w:eastAsia="仿宋"/>
          <w:sz w:val="32"/>
          <w:szCs w:val="32"/>
        </w:rPr>
      </w:pPr>
      <w:r>
        <w:rPr>
          <w:rFonts w:hint="eastAsia" w:ascii="仿宋" w:hAnsi="仿宋" w:eastAsia="仿宋"/>
          <w:sz w:val="32"/>
          <w:szCs w:val="32"/>
        </w:rPr>
        <w:t xml:space="preserve">     2022年度政府性基金预算财政拨款收入313.14万元；年初结转和结余0万元；支出313.14万元，其中基本支出10.5万元，项目支出302.64万元；年末结转和结余0万元。</w:t>
      </w:r>
    </w:p>
    <w:p>
      <w:pPr>
        <w:pStyle w:val="9"/>
        <w:rPr>
          <w:rFonts w:ascii="仿宋" w:hAnsi="仿宋" w:eastAsia="仿宋"/>
          <w:b/>
          <w:sz w:val="32"/>
          <w:szCs w:val="32"/>
        </w:rPr>
      </w:pPr>
      <w:r>
        <w:rPr>
          <w:rFonts w:hint="eastAsia" w:ascii="仿宋" w:hAnsi="仿宋" w:eastAsia="仿宋"/>
          <w:b/>
          <w:sz w:val="32"/>
          <w:szCs w:val="32"/>
        </w:rPr>
        <w:t>九、关于机关运行经费支出说明</w:t>
      </w:r>
    </w:p>
    <w:p>
      <w:pPr>
        <w:pStyle w:val="9"/>
        <w:ind w:firstLine="640" w:firstLineChars="200"/>
        <w:rPr>
          <w:rFonts w:ascii="仿宋" w:hAnsi="仿宋" w:eastAsia="仿宋"/>
          <w:sz w:val="32"/>
          <w:szCs w:val="32"/>
        </w:rPr>
      </w:pPr>
      <w:r>
        <w:rPr>
          <w:rFonts w:hint="eastAsia" w:ascii="仿宋" w:hAnsi="仿宋" w:eastAsia="仿宋"/>
          <w:sz w:val="32"/>
          <w:szCs w:val="32"/>
        </w:rPr>
        <w:t>本部门2022年度机关运行经费支出99.97万元，比上年决算数减少</w:t>
      </w:r>
      <w:r>
        <w:rPr>
          <w:rFonts w:hint="eastAsia" w:ascii="仿宋" w:hAnsi="仿宋" w:eastAsia="仿宋"/>
          <w:sz w:val="32"/>
          <w:szCs w:val="32"/>
          <w:lang w:val="en-US" w:eastAsia="zh-CN"/>
        </w:rPr>
        <w:t>68.5</w:t>
      </w:r>
      <w:r>
        <w:rPr>
          <w:rFonts w:hint="eastAsia" w:ascii="仿宋" w:hAnsi="仿宋" w:eastAsia="仿宋"/>
          <w:sz w:val="32"/>
          <w:szCs w:val="32"/>
        </w:rPr>
        <w:t>万元，减少</w:t>
      </w:r>
      <w:r>
        <w:rPr>
          <w:rFonts w:hint="eastAsia" w:ascii="仿宋" w:hAnsi="仿宋" w:eastAsia="仿宋"/>
          <w:sz w:val="32"/>
          <w:szCs w:val="32"/>
          <w:lang w:val="en-US" w:eastAsia="zh-CN"/>
        </w:rPr>
        <w:t>39.93</w:t>
      </w:r>
      <w:r>
        <w:rPr>
          <w:rFonts w:hint="eastAsia" w:ascii="仿宋" w:hAnsi="仿宋" w:eastAsia="仿宋"/>
          <w:sz w:val="32"/>
          <w:szCs w:val="32"/>
        </w:rPr>
        <w:t>%。主要原因是：响应厉行节约缩减开支。</w:t>
      </w:r>
    </w:p>
    <w:p>
      <w:pPr>
        <w:pStyle w:val="9"/>
        <w:rPr>
          <w:rFonts w:ascii="仿宋" w:hAnsi="仿宋" w:eastAsia="仿宋"/>
          <w:b/>
          <w:sz w:val="32"/>
          <w:szCs w:val="32"/>
        </w:rPr>
      </w:pPr>
      <w:r>
        <w:rPr>
          <w:rFonts w:hint="eastAsia" w:ascii="仿宋" w:hAnsi="仿宋" w:eastAsia="仿宋"/>
          <w:b/>
          <w:sz w:val="32"/>
          <w:szCs w:val="32"/>
        </w:rPr>
        <w:t>十、一般性支出情况</w:t>
      </w:r>
    </w:p>
    <w:p>
      <w:pPr>
        <w:pStyle w:val="9"/>
        <w:ind w:firstLine="640" w:firstLineChars="200"/>
        <w:rPr>
          <w:rFonts w:ascii="仿宋" w:hAnsi="仿宋" w:eastAsia="仿宋"/>
          <w:sz w:val="32"/>
          <w:szCs w:val="32"/>
        </w:rPr>
      </w:pPr>
      <w:r>
        <w:rPr>
          <w:rFonts w:hint="eastAsia" w:ascii="仿宋" w:hAnsi="仿宋" w:eastAsia="仿宋"/>
          <w:sz w:val="32"/>
          <w:szCs w:val="32"/>
        </w:rPr>
        <w:t>2022年本部门开支会议费0万元；开支培训费5.79万元，比上年增加5.68万元，增减变化的主要原因是：增加继续教育和候鸟保护培训费。</w:t>
      </w:r>
    </w:p>
    <w:p>
      <w:pPr>
        <w:pStyle w:val="9"/>
        <w:rPr>
          <w:rFonts w:ascii="仿宋" w:hAnsi="仿宋" w:eastAsia="仿宋"/>
          <w:b/>
          <w:sz w:val="32"/>
          <w:szCs w:val="32"/>
        </w:rPr>
      </w:pPr>
      <w:r>
        <w:rPr>
          <w:rFonts w:hint="eastAsia" w:ascii="仿宋" w:hAnsi="仿宋" w:eastAsia="仿宋"/>
          <w:b/>
          <w:sz w:val="32"/>
          <w:szCs w:val="32"/>
        </w:rPr>
        <w:t>十一、关于政府采购支出说明</w:t>
      </w:r>
    </w:p>
    <w:p>
      <w:pPr>
        <w:ind w:firstLine="480" w:firstLineChars="150"/>
        <w:rPr>
          <w:rFonts w:ascii="仿宋" w:hAnsi="仿宋" w:eastAsia="仿宋" w:cs="宋体"/>
          <w:color w:val="000000"/>
          <w:kern w:val="0"/>
          <w:sz w:val="32"/>
          <w:szCs w:val="32"/>
        </w:rPr>
      </w:pPr>
      <w:r>
        <w:rPr>
          <w:rFonts w:hint="eastAsia" w:ascii="仿宋" w:hAnsi="仿宋" w:eastAsia="仿宋" w:cs="宋体"/>
          <w:color w:val="000000"/>
          <w:kern w:val="0"/>
          <w:sz w:val="32"/>
          <w:szCs w:val="32"/>
        </w:rPr>
        <w:t>2022年，我单位</w:t>
      </w:r>
      <w:r>
        <w:rPr>
          <w:rFonts w:hint="eastAsia" w:ascii="仿宋" w:hAnsi="仿宋" w:eastAsia="仿宋" w:cs="宋体"/>
          <w:color w:val="000000"/>
          <w:kern w:val="0"/>
          <w:sz w:val="32"/>
          <w:szCs w:val="32"/>
          <w:highlight w:val="none"/>
        </w:rPr>
        <w:t>无政府采购预算。</w:t>
      </w:r>
    </w:p>
    <w:p>
      <w:pPr>
        <w:pStyle w:val="9"/>
        <w:rPr>
          <w:rFonts w:ascii="仿宋" w:hAnsi="仿宋" w:eastAsia="仿宋"/>
          <w:b/>
          <w:sz w:val="32"/>
          <w:szCs w:val="32"/>
        </w:rPr>
      </w:pPr>
      <w:r>
        <w:rPr>
          <w:rFonts w:hint="eastAsia" w:ascii="仿宋" w:hAnsi="仿宋" w:eastAsia="仿宋"/>
          <w:b/>
          <w:sz w:val="32"/>
          <w:szCs w:val="32"/>
        </w:rPr>
        <w:t>十二、关于国有资产占用情况说明</w:t>
      </w:r>
    </w:p>
    <w:p>
      <w:pPr>
        <w:widowControl/>
        <w:spacing w:line="520" w:lineRule="atLeast"/>
        <w:ind w:firstLine="640" w:firstLineChars="200"/>
        <w:jc w:val="left"/>
        <w:rPr>
          <w:rFonts w:ascii="仿宋" w:hAnsi="仿宋" w:eastAsia="仿宋" w:cs="宋体"/>
          <w:color w:val="000000"/>
          <w:kern w:val="0"/>
          <w:sz w:val="28"/>
          <w:szCs w:val="28"/>
          <w:highlight w:val="none"/>
        </w:rPr>
      </w:pPr>
      <w:r>
        <w:rPr>
          <w:rFonts w:hint="eastAsia" w:ascii="仿宋" w:hAnsi="仿宋" w:eastAsia="仿宋" w:cs="宋体"/>
          <w:color w:val="000000"/>
          <w:kern w:val="0"/>
          <w:sz w:val="32"/>
          <w:szCs w:val="32"/>
          <w:highlight w:val="none"/>
        </w:rPr>
        <w:t xml:space="preserve"> 截止2022年12月31日，</w:t>
      </w:r>
      <w:r>
        <w:rPr>
          <w:rFonts w:hint="eastAsia" w:ascii="仿宋" w:hAnsi="仿宋" w:eastAsia="仿宋" w:cs="仿宋"/>
          <w:kern w:val="0"/>
          <w:sz w:val="28"/>
          <w:szCs w:val="28"/>
          <w:highlight w:val="none"/>
        </w:rPr>
        <w:t>我单位共有车辆1辆，价值10万元；房屋建筑物6套,价值127.93万元,电脑142台，价值77.60万元；其他通用设备320台（套），价值169.06万元，办公桌椅等家具726件，价值44.06万元；资产总价值417万元，</w:t>
      </w:r>
      <w:r>
        <w:rPr>
          <w:rFonts w:hint="eastAsia" w:ascii="仿宋" w:hAnsi="仿宋" w:eastAsia="仿宋" w:cs="宋体"/>
          <w:color w:val="000000"/>
          <w:kern w:val="0"/>
          <w:sz w:val="28"/>
          <w:szCs w:val="28"/>
          <w:highlight w:val="none"/>
        </w:rPr>
        <w:t>已提折旧284.09万元,净值为132.91万元。</w:t>
      </w:r>
      <w:bookmarkStart w:id="4" w:name="_GoBack"/>
      <w:bookmarkEnd w:id="4"/>
    </w:p>
    <w:p>
      <w:pPr>
        <w:pStyle w:val="9"/>
        <w:rPr>
          <w:rFonts w:ascii="仿宋" w:hAnsi="仿宋" w:eastAsia="仿宋"/>
          <w:b/>
          <w:sz w:val="32"/>
          <w:szCs w:val="32"/>
        </w:rPr>
      </w:pPr>
      <w:r>
        <w:rPr>
          <w:rFonts w:hint="eastAsia" w:ascii="仿宋" w:hAnsi="仿宋" w:eastAsia="仿宋"/>
          <w:b/>
          <w:sz w:val="32"/>
          <w:szCs w:val="32"/>
        </w:rPr>
        <w:t>十三、关于2022年度预算绩效情况的说明</w:t>
      </w:r>
    </w:p>
    <w:p>
      <w:pPr>
        <w:spacing w:line="520" w:lineRule="exact"/>
        <w:ind w:firstLine="643"/>
        <w:rPr>
          <w:rFonts w:ascii="仿宋" w:hAnsi="仿宋" w:eastAsia="仿宋"/>
          <w:sz w:val="32"/>
          <w:szCs w:val="24"/>
        </w:rPr>
      </w:pPr>
      <w:r>
        <w:rPr>
          <w:rFonts w:hint="eastAsia" w:ascii="仿宋" w:hAnsi="仿宋" w:eastAsia="仿宋"/>
          <w:sz w:val="32"/>
          <w:szCs w:val="24"/>
        </w:rPr>
        <w:t>（一）绩效管理工作开展情况。按照《湖南省预算绩效管理工作规程（试行）的通知》文件要求，我局积极组织，对</w:t>
      </w:r>
      <w:r>
        <w:rPr>
          <w:rFonts w:ascii="仿宋" w:hAnsi="仿宋" w:eastAsia="仿宋"/>
          <w:sz w:val="32"/>
          <w:szCs w:val="24"/>
        </w:rPr>
        <w:t>2022</w:t>
      </w:r>
      <w:r>
        <w:rPr>
          <w:rFonts w:hint="eastAsia" w:ascii="仿宋" w:hAnsi="仿宋" w:eastAsia="仿宋"/>
          <w:sz w:val="32"/>
          <w:szCs w:val="24"/>
        </w:rPr>
        <w:t>年度部门预算绩效开展了自评。</w:t>
      </w:r>
    </w:p>
    <w:p>
      <w:pPr>
        <w:spacing w:line="520" w:lineRule="exact"/>
        <w:ind w:firstLine="643"/>
        <w:rPr>
          <w:rFonts w:ascii="仿宋" w:hAnsi="仿宋" w:eastAsia="仿宋"/>
          <w:sz w:val="32"/>
          <w:szCs w:val="24"/>
        </w:rPr>
      </w:pPr>
      <w:r>
        <w:rPr>
          <w:rFonts w:hint="eastAsia" w:ascii="仿宋" w:hAnsi="仿宋" w:eastAsia="仿宋"/>
          <w:sz w:val="32"/>
          <w:szCs w:val="24"/>
        </w:rPr>
        <w:t>（二）部门决算中项目绩效自评结果为良好。</w:t>
      </w:r>
    </w:p>
    <w:p>
      <w:pPr>
        <w:spacing w:line="520" w:lineRule="exact"/>
        <w:ind w:firstLine="643"/>
        <w:rPr>
          <w:rFonts w:ascii="仿宋" w:hAnsi="仿宋" w:eastAsia="仿宋"/>
          <w:sz w:val="32"/>
          <w:szCs w:val="24"/>
        </w:rPr>
      </w:pPr>
      <w:r>
        <w:rPr>
          <w:rFonts w:hint="eastAsia" w:ascii="仿宋" w:hAnsi="仿宋" w:eastAsia="仿宋"/>
          <w:sz w:val="32"/>
          <w:szCs w:val="24"/>
        </w:rPr>
        <w:t>（三）绩效评价指标分析情况</w:t>
      </w:r>
    </w:p>
    <w:p>
      <w:pPr>
        <w:ind w:firstLine="800" w:firstLineChars="250"/>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rPr>
        <w:t>、专项资金到位情况分析</w:t>
      </w:r>
    </w:p>
    <w:p>
      <w:pPr>
        <w:ind w:firstLine="800" w:firstLineChars="250"/>
        <w:rPr>
          <w:rFonts w:ascii="仿宋" w:hAnsi="仿宋" w:eastAsia="仿宋"/>
          <w:sz w:val="32"/>
          <w:szCs w:val="32"/>
        </w:rPr>
      </w:pPr>
      <w:r>
        <w:rPr>
          <w:rFonts w:ascii="仿宋" w:hAnsi="仿宋" w:eastAsia="仿宋"/>
          <w:sz w:val="32"/>
          <w:szCs w:val="32"/>
        </w:rPr>
        <w:t>2022</w:t>
      </w:r>
      <w:r>
        <w:rPr>
          <w:rFonts w:hint="eastAsia" w:ascii="仿宋" w:hAnsi="仿宋" w:eastAsia="仿宋"/>
          <w:sz w:val="32"/>
          <w:szCs w:val="32"/>
        </w:rPr>
        <w:t>年市财政预算安排病虫害防治专项资金4万元，到位资金4万元。</w:t>
      </w:r>
    </w:p>
    <w:p>
      <w:pPr>
        <w:ind w:firstLine="800" w:firstLineChars="250"/>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、项目资金管理情况</w:t>
      </w:r>
    </w:p>
    <w:p>
      <w:pPr>
        <w:ind w:firstLine="800" w:firstLineChars="250"/>
        <w:rPr>
          <w:rFonts w:ascii="仿宋" w:hAnsi="仿宋" w:eastAsia="仿宋"/>
          <w:sz w:val="32"/>
          <w:szCs w:val="32"/>
        </w:rPr>
      </w:pPr>
      <w:r>
        <w:rPr>
          <w:rFonts w:hint="eastAsia" w:ascii="仿宋" w:hAnsi="仿宋" w:eastAsia="仿宋"/>
          <w:sz w:val="32"/>
          <w:szCs w:val="32"/>
        </w:rPr>
        <w:t>我局机关财务制度健全，管理规范，帐务处理及时，会计核算规范。专项资金严格按照国家规定的相关法律、法规的规定和要求使用，确保了资金的专款专用。</w:t>
      </w:r>
    </w:p>
    <w:p>
      <w:pPr>
        <w:ind w:firstLine="581" w:firstLineChars="181"/>
        <w:rPr>
          <w:rFonts w:ascii="仿宋" w:hAnsi="仿宋" w:eastAsia="仿宋"/>
          <w:b/>
          <w:sz w:val="32"/>
          <w:szCs w:val="32"/>
        </w:rPr>
      </w:pPr>
      <w:r>
        <w:rPr>
          <w:rFonts w:hint="eastAsia" w:ascii="仿宋" w:hAnsi="仿宋" w:eastAsia="仿宋"/>
          <w:b/>
          <w:sz w:val="32"/>
          <w:szCs w:val="32"/>
        </w:rPr>
        <w:t>（二）项目实施情况</w:t>
      </w:r>
    </w:p>
    <w:p>
      <w:pPr>
        <w:ind w:firstLine="640" w:firstLineChars="200"/>
        <w:rPr>
          <w:rFonts w:ascii="仿宋" w:hAnsi="仿宋" w:eastAsia="仿宋"/>
          <w:sz w:val="32"/>
          <w:szCs w:val="32"/>
        </w:rPr>
      </w:pPr>
      <w:r>
        <w:rPr>
          <w:rFonts w:hint="eastAsia" w:ascii="仿宋" w:hAnsi="仿宋" w:eastAsia="仿宋"/>
          <w:sz w:val="32"/>
          <w:szCs w:val="32"/>
        </w:rPr>
        <w:t>在专项资金使用上，我们严格按照财政预算内容和有关要求，将资金用在病虫害防治的工作衔接上。使用过程中，严格按国库集中支付的要求，完善了报帐手续，做到资金使用合规，审批手续到位，资料符合要求。</w:t>
      </w:r>
    </w:p>
    <w:p>
      <w:pPr>
        <w:ind w:firstLine="581" w:firstLineChars="181"/>
        <w:rPr>
          <w:rFonts w:ascii="仿宋" w:hAnsi="仿宋" w:eastAsia="仿宋"/>
          <w:b/>
          <w:sz w:val="32"/>
          <w:szCs w:val="32"/>
        </w:rPr>
      </w:pPr>
      <w:r>
        <w:rPr>
          <w:rFonts w:hint="eastAsia" w:ascii="仿宋" w:hAnsi="仿宋" w:eastAsia="仿宋"/>
          <w:b/>
          <w:sz w:val="32"/>
          <w:szCs w:val="32"/>
        </w:rPr>
        <w:t>（三）项目绩效情况分析</w:t>
      </w:r>
    </w:p>
    <w:p>
      <w:pPr>
        <w:ind w:firstLine="480" w:firstLineChars="150"/>
        <w:rPr>
          <w:rFonts w:ascii="仿宋" w:hAnsi="仿宋" w:eastAsia="仿宋"/>
          <w:sz w:val="32"/>
          <w:szCs w:val="32"/>
        </w:rPr>
      </w:pPr>
      <w:r>
        <w:rPr>
          <w:rFonts w:hint="eastAsia" w:ascii="仿宋" w:hAnsi="仿宋" w:eastAsia="仿宋"/>
          <w:sz w:val="32"/>
          <w:szCs w:val="32"/>
        </w:rPr>
        <w:t>2022年森林病虫害防治以预测预报为主，主要是下乡线路踏查与样地调查，发布预报；农药药物实验，防治对象药物杀灭对比等。具体表现如下：</w:t>
      </w:r>
    </w:p>
    <w:p>
      <w:pPr>
        <w:ind w:firstLine="600" w:firstLineChars="200"/>
        <w:rPr>
          <w:rFonts w:ascii="仿宋" w:hAnsi="仿宋" w:eastAsia="仿宋"/>
          <w:sz w:val="30"/>
          <w:szCs w:val="30"/>
        </w:rPr>
      </w:pPr>
      <w:r>
        <w:rPr>
          <w:rFonts w:hint="eastAsia" w:ascii="仿宋" w:hAnsi="仿宋" w:eastAsia="仿宋"/>
          <w:sz w:val="30"/>
          <w:szCs w:val="30"/>
        </w:rPr>
        <w:t>1.项目完成程度：项目在规定时间全部完成，完成率100%。</w:t>
      </w:r>
    </w:p>
    <w:p>
      <w:pPr>
        <w:pStyle w:val="12"/>
        <w:rPr>
          <w:rFonts w:ascii="仿宋" w:hAnsi="仿宋" w:eastAsia="仿宋"/>
        </w:rPr>
      </w:pPr>
      <w:r>
        <w:rPr>
          <w:rFonts w:hint="eastAsia" w:ascii="仿宋" w:hAnsi="仿宋" w:eastAsia="仿宋"/>
        </w:rPr>
        <w:t xml:space="preserve">    2.项目完成质量：项目建设严格按照调查规程组织实施，如质如量完成项目任务。</w:t>
      </w: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r>
        <w:rPr>
          <w:rFonts w:hint="eastAsia" w:ascii="仿宋" w:hAnsi="仿宋" w:eastAsia="仿宋"/>
          <w:sz w:val="72"/>
          <w:szCs w:val="72"/>
        </w:rPr>
        <w:t>第四部分</w:t>
      </w:r>
    </w:p>
    <w:p>
      <w:pPr>
        <w:jc w:val="center"/>
        <w:rPr>
          <w:rFonts w:ascii="仿宋" w:hAnsi="仿宋" w:eastAsia="仿宋" w:cs="黑体"/>
          <w:color w:val="000000"/>
          <w:kern w:val="0"/>
          <w:sz w:val="70"/>
          <w:szCs w:val="70"/>
        </w:rPr>
      </w:pPr>
    </w:p>
    <w:p>
      <w:pPr>
        <w:jc w:val="center"/>
        <w:rPr>
          <w:rFonts w:ascii="仿宋" w:hAnsi="仿宋" w:eastAsia="仿宋" w:cs="黑体"/>
          <w:color w:val="000000"/>
          <w:kern w:val="0"/>
          <w:sz w:val="70"/>
          <w:szCs w:val="70"/>
        </w:rPr>
      </w:pPr>
      <w:r>
        <w:rPr>
          <w:rFonts w:hint="eastAsia" w:ascii="仿宋" w:hAnsi="仿宋" w:eastAsia="仿宋" w:cs="黑体"/>
          <w:color w:val="000000"/>
          <w:kern w:val="0"/>
          <w:sz w:val="70"/>
          <w:szCs w:val="70"/>
        </w:rPr>
        <w:t>名词解释</w:t>
      </w:r>
    </w:p>
    <w:p>
      <w:pPr>
        <w:widowControl/>
        <w:jc w:val="left"/>
        <w:rPr>
          <w:rFonts w:ascii="仿宋" w:hAnsi="仿宋" w:eastAsia="仿宋" w:cs="黑体"/>
          <w:color w:val="000000"/>
          <w:kern w:val="0"/>
          <w:sz w:val="70"/>
          <w:szCs w:val="70"/>
        </w:rPr>
      </w:pPr>
      <w:r>
        <w:rPr>
          <w:rFonts w:ascii="仿宋" w:hAnsi="仿宋" w:eastAsia="仿宋" w:cs="黑体"/>
          <w:color w:val="000000"/>
          <w:kern w:val="0"/>
          <w:sz w:val="70"/>
          <w:szCs w:val="70"/>
        </w:rPr>
        <w:br w:type="page"/>
      </w:r>
    </w:p>
    <w:p>
      <w:pPr>
        <w:rPr>
          <w:rFonts w:ascii="仿宋" w:hAnsi="仿宋" w:eastAsia="仿宋" w:cs="黑体"/>
          <w:color w:val="000000"/>
          <w:kern w:val="0"/>
          <w:sz w:val="32"/>
          <w:szCs w:val="32"/>
        </w:rPr>
      </w:pPr>
    </w:p>
    <w:p>
      <w:pPr>
        <w:rPr>
          <w:rFonts w:ascii="仿宋" w:hAnsi="仿宋" w:eastAsia="仿宋" w:cs="宋体"/>
          <w:color w:val="000000"/>
          <w:kern w:val="0"/>
          <w:sz w:val="28"/>
          <w:szCs w:val="28"/>
        </w:rPr>
      </w:pPr>
      <w:r>
        <w:rPr>
          <w:rFonts w:hint="eastAsia" w:ascii="仿宋" w:hAnsi="仿宋" w:eastAsia="仿宋" w:cs="宋体"/>
          <w:color w:val="000000"/>
          <w:kern w:val="0"/>
          <w:sz w:val="28"/>
          <w:szCs w:val="28"/>
        </w:rPr>
        <w:t>1、基本支出：指为保障机构正常运转、完成日常工作任务而发生的各项支出，包括人员支出和公用支出。</w:t>
      </w:r>
    </w:p>
    <w:p>
      <w:pPr>
        <w:rPr>
          <w:rFonts w:ascii="仿宋" w:hAnsi="仿宋" w:eastAsia="仿宋" w:cs="宋体"/>
          <w:color w:val="000000"/>
          <w:kern w:val="0"/>
          <w:sz w:val="28"/>
          <w:szCs w:val="28"/>
        </w:rPr>
      </w:pPr>
      <w:r>
        <w:rPr>
          <w:rFonts w:hint="eastAsia" w:ascii="仿宋" w:hAnsi="仿宋" w:eastAsia="仿宋" w:cs="宋体"/>
          <w:color w:val="000000"/>
          <w:kern w:val="0"/>
          <w:sz w:val="28"/>
          <w:szCs w:val="28"/>
        </w:rPr>
        <w:t>2、项目支出：指在基本支出以外为完成相关行政任务和事业发展目标所发生的各项支出。</w:t>
      </w:r>
    </w:p>
    <w:p>
      <w:pPr>
        <w:rPr>
          <w:rFonts w:ascii="仿宋" w:hAnsi="仿宋" w:eastAsia="仿宋" w:cs="宋体"/>
          <w:color w:val="000000"/>
          <w:kern w:val="0"/>
          <w:sz w:val="28"/>
          <w:szCs w:val="28"/>
        </w:rPr>
      </w:pPr>
      <w:r>
        <w:rPr>
          <w:rFonts w:hint="eastAsia" w:ascii="仿宋" w:hAnsi="仿宋" w:eastAsia="仿宋" w:cs="宋体"/>
          <w:color w:val="000000"/>
          <w:kern w:val="0"/>
          <w:sz w:val="28"/>
          <w:szCs w:val="28"/>
        </w:rPr>
        <w:t>3、机关运行经费：是指各部门的公用经费，包括办公及印刷费、邮电费、差旅费、会议费、福利费、日常维修费、专用资料及一般设备购置费、办公用房水电费、办公用房取暖费、办公用房物业管理费、公务用车运行维护费以及其他费用。 </w:t>
      </w:r>
    </w:p>
    <w:p>
      <w:pPr>
        <w:rPr>
          <w:rFonts w:ascii="仿宋" w:hAnsi="仿宋" w:eastAsia="仿宋" w:cs="宋体"/>
          <w:color w:val="000000"/>
          <w:kern w:val="0"/>
          <w:sz w:val="28"/>
          <w:szCs w:val="28"/>
        </w:rPr>
      </w:pPr>
      <w:r>
        <w:rPr>
          <w:rFonts w:hint="eastAsia" w:ascii="仿宋" w:hAnsi="仿宋" w:eastAsia="仿宋" w:cs="宋体"/>
          <w:color w:val="000000"/>
          <w:kern w:val="0"/>
          <w:sz w:val="28"/>
          <w:szCs w:val="28"/>
        </w:rPr>
        <w:t>　4、“三公”经费：纳入省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 </w:t>
      </w: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r>
        <w:rPr>
          <w:rFonts w:hint="eastAsia" w:ascii="仿宋" w:hAnsi="仿宋" w:eastAsia="仿宋"/>
          <w:sz w:val="72"/>
          <w:szCs w:val="72"/>
        </w:rPr>
        <w:t>第五部分</w:t>
      </w:r>
    </w:p>
    <w:p>
      <w:pPr>
        <w:jc w:val="center"/>
        <w:rPr>
          <w:rFonts w:ascii="仿宋" w:hAnsi="仿宋" w:eastAsia="仿宋" w:cs="黑体"/>
          <w:color w:val="000000"/>
          <w:kern w:val="0"/>
          <w:sz w:val="70"/>
          <w:szCs w:val="70"/>
        </w:rPr>
      </w:pPr>
    </w:p>
    <w:p>
      <w:pPr>
        <w:jc w:val="center"/>
        <w:rPr>
          <w:rFonts w:ascii="仿宋" w:hAnsi="仿宋" w:eastAsia="仿宋" w:cs="黑体"/>
          <w:color w:val="000000"/>
          <w:kern w:val="0"/>
          <w:sz w:val="70"/>
          <w:szCs w:val="70"/>
        </w:rPr>
      </w:pPr>
      <w:r>
        <w:rPr>
          <w:rFonts w:hint="eastAsia" w:ascii="仿宋" w:hAnsi="仿宋" w:eastAsia="仿宋" w:cs="黑体"/>
          <w:color w:val="000000"/>
          <w:kern w:val="0"/>
          <w:sz w:val="70"/>
          <w:szCs w:val="70"/>
        </w:rPr>
        <w:t>附件</w:t>
      </w:r>
    </w:p>
    <w:p>
      <w:pPr>
        <w:widowControl/>
        <w:jc w:val="left"/>
        <w:rPr>
          <w:rFonts w:ascii="仿宋" w:hAnsi="仿宋" w:eastAsia="仿宋" w:cs="黑体"/>
          <w:color w:val="000000"/>
          <w:kern w:val="0"/>
          <w:sz w:val="70"/>
          <w:szCs w:val="70"/>
        </w:rPr>
      </w:pPr>
      <w:r>
        <w:rPr>
          <w:rFonts w:ascii="仿宋" w:hAnsi="仿宋" w:eastAsia="仿宋" w:cs="黑体"/>
          <w:color w:val="000000"/>
          <w:kern w:val="0"/>
          <w:sz w:val="70"/>
          <w:szCs w:val="70"/>
        </w:rPr>
        <w:br w:type="page"/>
      </w:r>
    </w:p>
    <w:p>
      <w:pPr>
        <w:ind w:firstLine="643" w:firstLineChars="200"/>
        <w:jc w:val="center"/>
        <w:rPr>
          <w:rFonts w:ascii="仿宋" w:hAnsi="仿宋" w:eastAsia="仿宋" w:cs="黑体"/>
          <w:b/>
          <w:color w:val="000000"/>
          <w:kern w:val="0"/>
          <w:sz w:val="32"/>
          <w:szCs w:val="32"/>
        </w:rPr>
      </w:pPr>
    </w:p>
    <w:p>
      <w:pPr>
        <w:widowControl/>
        <w:shd w:val="clear" w:color="auto" w:fill="FFFFFF"/>
        <w:spacing w:line="600" w:lineRule="atLeast"/>
        <w:jc w:val="center"/>
        <w:rPr>
          <w:rFonts w:ascii="仿宋" w:hAnsi="仿宋" w:eastAsia="仿宋" w:cs="宋体"/>
          <w:b/>
          <w:bCs/>
          <w:color w:val="333333"/>
          <w:kern w:val="0"/>
          <w:sz w:val="48"/>
          <w:szCs w:val="48"/>
        </w:rPr>
      </w:pPr>
    </w:p>
    <w:p>
      <w:pPr>
        <w:widowControl/>
        <w:shd w:val="clear" w:color="auto" w:fill="FFFFFF"/>
        <w:spacing w:line="600" w:lineRule="atLeast"/>
        <w:jc w:val="center"/>
        <w:rPr>
          <w:rFonts w:ascii="仿宋" w:hAnsi="仿宋" w:eastAsia="仿宋" w:cs="宋体"/>
          <w:b/>
          <w:bCs/>
          <w:color w:val="333333"/>
          <w:kern w:val="0"/>
          <w:sz w:val="48"/>
          <w:szCs w:val="48"/>
        </w:rPr>
      </w:pPr>
      <w:r>
        <w:rPr>
          <w:rFonts w:hint="eastAsia" w:ascii="仿宋" w:hAnsi="仿宋" w:eastAsia="仿宋" w:cs="宋体"/>
          <w:b/>
          <w:bCs/>
          <w:color w:val="333333"/>
          <w:kern w:val="0"/>
          <w:sz w:val="48"/>
          <w:szCs w:val="48"/>
        </w:rPr>
        <w:t>2022年林业局整体支出</w:t>
      </w:r>
    </w:p>
    <w:p>
      <w:pPr>
        <w:widowControl/>
        <w:shd w:val="clear" w:color="auto" w:fill="FFFFFF"/>
        <w:spacing w:line="600" w:lineRule="atLeast"/>
        <w:jc w:val="center"/>
        <w:rPr>
          <w:rFonts w:ascii="仿宋" w:hAnsi="仿宋" w:eastAsia="仿宋" w:cs="宋体"/>
          <w:b/>
          <w:bCs/>
          <w:color w:val="333333"/>
          <w:kern w:val="0"/>
          <w:sz w:val="48"/>
          <w:szCs w:val="48"/>
        </w:rPr>
      </w:pPr>
      <w:r>
        <w:rPr>
          <w:rFonts w:hint="eastAsia" w:ascii="仿宋" w:hAnsi="仿宋" w:eastAsia="仿宋" w:cs="宋体"/>
          <w:b/>
          <w:bCs/>
          <w:color w:val="333333"/>
          <w:kern w:val="0"/>
          <w:sz w:val="48"/>
          <w:szCs w:val="48"/>
        </w:rPr>
        <w:t>绩效评价报告</w:t>
      </w:r>
    </w:p>
    <w:p>
      <w:pPr>
        <w:widowControl/>
        <w:shd w:val="clear" w:color="auto" w:fill="FFFFFF"/>
        <w:spacing w:line="600" w:lineRule="atLeast"/>
        <w:jc w:val="left"/>
        <w:rPr>
          <w:rFonts w:ascii="仿宋" w:hAnsi="仿宋" w:eastAsia="仿宋" w:cs="宋体"/>
          <w:color w:val="333333"/>
          <w:kern w:val="0"/>
          <w:sz w:val="48"/>
          <w:szCs w:val="48"/>
        </w:rPr>
      </w:pPr>
      <w:r>
        <w:rPr>
          <w:rFonts w:hint="eastAsia" w:ascii="宋体" w:hAnsi="宋体" w:eastAsia="仿宋" w:cs="宋体"/>
          <w:color w:val="333333"/>
          <w:kern w:val="0"/>
          <w:sz w:val="48"/>
          <w:szCs w:val="48"/>
        </w:rPr>
        <w:t> </w:t>
      </w:r>
    </w:p>
    <w:p>
      <w:pPr>
        <w:widowControl/>
        <w:shd w:val="clear" w:color="auto" w:fill="FFFFFF"/>
        <w:spacing w:line="600" w:lineRule="atLeast"/>
        <w:ind w:firstLine="640"/>
        <w:jc w:val="left"/>
        <w:rPr>
          <w:rFonts w:ascii="仿宋" w:hAnsi="仿宋" w:eastAsia="仿宋" w:cs="宋体"/>
          <w:b/>
          <w:bCs/>
          <w:color w:val="333333"/>
          <w:kern w:val="0"/>
          <w:sz w:val="32"/>
          <w:szCs w:val="32"/>
        </w:rPr>
      </w:pPr>
      <w:r>
        <w:rPr>
          <w:rFonts w:hint="eastAsia" w:ascii="仿宋" w:hAnsi="仿宋" w:eastAsia="仿宋" w:cs="宋体"/>
          <w:b/>
          <w:bCs/>
          <w:color w:val="333333"/>
          <w:kern w:val="0"/>
          <w:sz w:val="32"/>
          <w:szCs w:val="32"/>
        </w:rPr>
        <w:t>一、部门概况</w:t>
      </w:r>
    </w:p>
    <w:p>
      <w:pPr>
        <w:ind w:firstLine="640" w:firstLineChars="200"/>
        <w:rPr>
          <w:rFonts w:ascii="仿宋" w:hAnsi="仿宋" w:eastAsia="仿宋" w:cs="仿宋"/>
          <w:sz w:val="32"/>
          <w:szCs w:val="32"/>
        </w:rPr>
      </w:pPr>
      <w:r>
        <w:rPr>
          <w:rFonts w:hint="eastAsia" w:ascii="仿宋" w:hAnsi="仿宋" w:eastAsia="仿宋" w:cs="仿宋"/>
          <w:sz w:val="32"/>
          <w:szCs w:val="32"/>
        </w:rPr>
        <w:t>（一）负责林业及其生态保护修复的监督管理；拟订林业及其生态保护修复的政策、规划、标准并组织实施；组织开展森林、湿地、荒漠和陆生野生动植物资源动态监测与评价。</w:t>
      </w:r>
    </w:p>
    <w:p>
      <w:pPr>
        <w:ind w:firstLine="640" w:firstLineChars="200"/>
        <w:rPr>
          <w:rFonts w:ascii="仿宋" w:hAnsi="仿宋" w:eastAsia="仿宋" w:cs="仿宋"/>
          <w:sz w:val="32"/>
          <w:szCs w:val="32"/>
        </w:rPr>
      </w:pPr>
      <w:r>
        <w:rPr>
          <w:rFonts w:hint="eastAsia" w:ascii="仿宋" w:hAnsi="仿宋" w:eastAsia="仿宋" w:cs="仿宋"/>
          <w:sz w:val="32"/>
          <w:szCs w:val="32"/>
        </w:rPr>
        <w:t>（二）组织林业生态保护修复和造林绿化工作；组织实施林业重点生态保护修复工程；指导公益林和商品林的培育；指导、监督全民义务植树、城乡造林绿化工作；组织指导林木花卉工作；组织指导植树造林、封山育林工作和以植树种草等生物措施防治水土流失工作；指导林业有害生物防治、检疫工作；承担林业应对气候变化的相关工作；承担市绿化委员会的具体工作。</w:t>
      </w:r>
    </w:p>
    <w:p>
      <w:pPr>
        <w:ind w:firstLine="640" w:firstLineChars="200"/>
        <w:rPr>
          <w:rFonts w:ascii="仿宋" w:hAnsi="仿宋" w:eastAsia="仿宋" w:cs="仿宋"/>
          <w:sz w:val="32"/>
          <w:szCs w:val="32"/>
        </w:rPr>
      </w:pPr>
      <w:r>
        <w:rPr>
          <w:rFonts w:hint="eastAsia" w:ascii="仿宋" w:hAnsi="仿宋" w:eastAsia="仿宋" w:cs="仿宋"/>
          <w:sz w:val="32"/>
          <w:szCs w:val="32"/>
        </w:rPr>
        <w:t>（三）负责森林、湿地资源的监督管理；组织编制并监督执行全市森林采伐限额；负责林地管理，指导监督规划编制，并组织实施；指导公益林管理和国有森林资源管理工作；负责林地禁牧和森林生态修复治理工作；监督管理森林资源的开发利用。</w:t>
      </w:r>
    </w:p>
    <w:p>
      <w:pPr>
        <w:ind w:firstLine="640" w:firstLineChars="200"/>
        <w:rPr>
          <w:rFonts w:ascii="仿宋" w:hAnsi="仿宋" w:eastAsia="仿宋" w:cs="仿宋"/>
          <w:sz w:val="32"/>
          <w:szCs w:val="32"/>
        </w:rPr>
      </w:pPr>
      <w:r>
        <w:rPr>
          <w:rFonts w:hint="eastAsia" w:ascii="仿宋" w:hAnsi="仿宋" w:eastAsia="仿宋" w:cs="仿宋"/>
          <w:sz w:val="32"/>
          <w:szCs w:val="32"/>
        </w:rPr>
        <w:t>（四）指导和监督湿地生态保护修复工作。拟订湿地保护规划和相关标准，监督管理湿地的开发利用；组织、协调、指导和监督全市湿地保护工作；拟订全市性、区域性湿地保护规划；组织实施建立湿地保护区、湿地公园等湿地保护管理工作；指导和监督湿地的合理利用；组织、协调全市湿地保护和有关国际湿地公约的履约工作。</w:t>
      </w:r>
    </w:p>
    <w:p>
      <w:pPr>
        <w:ind w:firstLine="640" w:firstLineChars="200"/>
        <w:rPr>
          <w:rFonts w:ascii="仿宋" w:hAnsi="仿宋" w:eastAsia="仿宋" w:cs="仿宋"/>
          <w:sz w:val="32"/>
          <w:szCs w:val="32"/>
        </w:rPr>
      </w:pPr>
      <w:r>
        <w:rPr>
          <w:rFonts w:hint="eastAsia" w:ascii="仿宋" w:hAnsi="仿宋" w:eastAsia="仿宋" w:cs="仿宋"/>
          <w:sz w:val="32"/>
          <w:szCs w:val="32"/>
        </w:rPr>
        <w:t>（五）负责监督管理石漠化防治工作。组织开展荒漠调查；组织拟订防沙治沙、石漠化防治及沙化土地封禁保护区建设规划；监督管理沙化土地的开发利用；组织沙化灾害预测预报和应急处置。</w:t>
      </w:r>
    </w:p>
    <w:p>
      <w:pPr>
        <w:ind w:firstLine="640" w:firstLineChars="200"/>
        <w:rPr>
          <w:rFonts w:ascii="仿宋" w:hAnsi="仿宋" w:eastAsia="仿宋" w:cs="仿宋"/>
          <w:sz w:val="32"/>
          <w:szCs w:val="32"/>
        </w:rPr>
      </w:pPr>
      <w:r>
        <w:rPr>
          <w:rFonts w:hint="eastAsia" w:ascii="仿宋" w:hAnsi="仿宋" w:eastAsia="仿宋" w:cs="仿宋"/>
          <w:sz w:val="32"/>
          <w:szCs w:val="32"/>
        </w:rPr>
        <w:t>（六）负责陆生野生动植物资源监督管理。组织开展陆生野生动植物资源调查，依法组织、指导陆生野生动植物的救护、繁育、栖息地恢复发展、疫源疫病监测监督；监督管理全市陆生野生动植物猎捕或采集、驯养繁殖或培植、经营利用；按权限监督管理重点保护的陆生野生动植物保护或其产品出口。</w:t>
      </w:r>
    </w:p>
    <w:p>
      <w:pPr>
        <w:ind w:firstLine="640" w:firstLineChars="200"/>
        <w:rPr>
          <w:rFonts w:ascii="仿宋" w:hAnsi="仿宋" w:eastAsia="仿宋" w:cs="仿宋"/>
          <w:sz w:val="32"/>
          <w:szCs w:val="32"/>
        </w:rPr>
      </w:pPr>
      <w:r>
        <w:rPr>
          <w:rFonts w:hint="eastAsia" w:ascii="仿宋" w:hAnsi="仿宋" w:eastAsia="仿宋" w:cs="仿宋"/>
          <w:sz w:val="32"/>
          <w:szCs w:val="32"/>
        </w:rPr>
        <w:t>（七）监督管理各类自然保护地。拟订各类自然保护地规划和相关标准；负责上级或由政府直接行使所有权的国家公园等自然保护地的自然资产管理和国土空间用途管制；提出新建、调整各类自然保护地的审核建议并按程序报批；组织审核世界自然遗产的申报，会同有关部门审核自然与文化双重遗产的申报；负责生物多样性保护相关工作。</w:t>
      </w:r>
    </w:p>
    <w:p>
      <w:pPr>
        <w:ind w:firstLine="640" w:firstLineChars="200"/>
        <w:rPr>
          <w:rFonts w:ascii="仿宋" w:hAnsi="仿宋" w:eastAsia="仿宋" w:cs="仿宋"/>
          <w:sz w:val="32"/>
          <w:szCs w:val="32"/>
        </w:rPr>
      </w:pPr>
      <w:r>
        <w:rPr>
          <w:rFonts w:hint="eastAsia" w:ascii="仿宋" w:hAnsi="仿宋" w:eastAsia="仿宋" w:cs="仿宋"/>
          <w:sz w:val="32"/>
          <w:szCs w:val="32"/>
        </w:rPr>
        <w:t>（八）负责推进林业改革相关工作。指导、监督实施集体林权制度、国有林场等重大改革；拟订农村林业发展、维护林业经营者合法权益的政策措施；指导农村林地承包经营和林地流转工作；开展退耕还林，负责天然林保护工作。</w:t>
      </w:r>
    </w:p>
    <w:p>
      <w:pPr>
        <w:ind w:firstLine="640" w:firstLineChars="200"/>
        <w:rPr>
          <w:rFonts w:ascii="仿宋" w:hAnsi="仿宋" w:eastAsia="仿宋" w:cs="仿宋"/>
          <w:sz w:val="32"/>
          <w:szCs w:val="32"/>
        </w:rPr>
      </w:pPr>
      <w:r>
        <w:rPr>
          <w:rFonts w:hint="eastAsia" w:ascii="仿宋" w:hAnsi="仿宋" w:eastAsia="仿宋" w:cs="仿宋"/>
          <w:sz w:val="32"/>
          <w:szCs w:val="32"/>
        </w:rPr>
        <w:t>（九）制定全市林业产业发展政策，合理调整林业产业发展布局，促进林业产业协调发展；制定林业资源优化配置及竹木材利用政策，按照规定，组织指导林产品质量监督；指导生态扶贫相关工作。</w:t>
      </w:r>
    </w:p>
    <w:p>
      <w:pPr>
        <w:ind w:firstLine="640" w:firstLineChars="200"/>
        <w:rPr>
          <w:rFonts w:ascii="仿宋" w:hAnsi="仿宋" w:eastAsia="仿宋" w:cs="仿宋"/>
          <w:sz w:val="32"/>
          <w:szCs w:val="32"/>
        </w:rPr>
      </w:pPr>
      <w:r>
        <w:rPr>
          <w:rFonts w:hint="eastAsia" w:ascii="仿宋" w:hAnsi="仿宋" w:eastAsia="仿宋" w:cs="仿宋"/>
          <w:sz w:val="32"/>
          <w:szCs w:val="32"/>
        </w:rPr>
        <w:t>（十）指导国有林场基本建设和发展。组织林木种子、草种种质资源普查；组织建立种质资源库，负责良种选育推广；管理林木种苗草种生产经营行为；监督管理林木种苗、草种质量；监督管理林业生物种质资源、转基因生物安全、植物新品种保护。</w:t>
      </w:r>
    </w:p>
    <w:p>
      <w:pPr>
        <w:ind w:firstLine="640" w:firstLineChars="200"/>
        <w:rPr>
          <w:rFonts w:ascii="仿宋" w:hAnsi="仿宋" w:eastAsia="仿宋" w:cs="仿宋"/>
          <w:sz w:val="32"/>
          <w:szCs w:val="32"/>
        </w:rPr>
      </w:pPr>
      <w:r>
        <w:rPr>
          <w:rFonts w:hint="eastAsia" w:ascii="仿宋" w:hAnsi="仿宋" w:eastAsia="仿宋" w:cs="仿宋"/>
          <w:sz w:val="32"/>
          <w:szCs w:val="32"/>
        </w:rPr>
        <w:t>（十一）指导森林公安工作。监督管理森林公安队伍，指导全市林业重大违法案件的查处；负责相关行政执法监管工作；指导林区社会治安治理工作。</w:t>
      </w:r>
    </w:p>
    <w:p>
      <w:pPr>
        <w:ind w:firstLine="640" w:firstLineChars="200"/>
        <w:rPr>
          <w:rFonts w:ascii="仿宋" w:hAnsi="仿宋" w:eastAsia="仿宋" w:cs="仿宋"/>
          <w:sz w:val="32"/>
          <w:szCs w:val="32"/>
        </w:rPr>
      </w:pPr>
      <w:r>
        <w:rPr>
          <w:rFonts w:hint="eastAsia" w:ascii="仿宋" w:hAnsi="仿宋" w:eastAsia="仿宋" w:cs="仿宋"/>
          <w:sz w:val="32"/>
          <w:szCs w:val="32"/>
        </w:rPr>
        <w:t>（十二）负责落实综合防灾减灾规划相关要求。组织编制森林火灾防治规划和防护标准并指导实施；指导开展防火巡护、火源管理、防火设施建设等工作；组织指导国有林场林区开展宣传教育、监测预警、督促检查等防火工作。必要时，可以提请市应急局，以市应急指挥机构名义，部署相关防治工作。</w:t>
      </w:r>
    </w:p>
    <w:p>
      <w:pPr>
        <w:ind w:firstLine="640" w:firstLineChars="200"/>
        <w:rPr>
          <w:rFonts w:ascii="仿宋" w:hAnsi="仿宋" w:eastAsia="仿宋" w:cs="仿宋"/>
          <w:sz w:val="32"/>
          <w:szCs w:val="32"/>
        </w:rPr>
      </w:pPr>
      <w:r>
        <w:rPr>
          <w:rFonts w:hint="eastAsia" w:ascii="仿宋" w:hAnsi="仿宋" w:eastAsia="仿宋" w:cs="仿宋"/>
          <w:sz w:val="32"/>
          <w:szCs w:val="32"/>
        </w:rPr>
        <w:t>（十三）监督管理林业资金和国有资产，提出林业预算内投资、财政性资金安排建议；按市政府规定权限，审核全市规划内和年度计划内投资项目；参与拟订林业经济调节政策，组织、指导生态补偿制度的建立和实施。</w:t>
      </w:r>
    </w:p>
    <w:p>
      <w:pPr>
        <w:ind w:firstLine="640" w:firstLineChars="200"/>
        <w:rPr>
          <w:rFonts w:ascii="仿宋" w:hAnsi="仿宋" w:eastAsia="仿宋" w:cs="仿宋"/>
          <w:sz w:val="32"/>
          <w:szCs w:val="32"/>
        </w:rPr>
      </w:pPr>
      <w:r>
        <w:rPr>
          <w:rFonts w:hint="eastAsia" w:ascii="仿宋" w:hAnsi="仿宋" w:eastAsia="仿宋" w:cs="仿宋"/>
          <w:sz w:val="32"/>
          <w:szCs w:val="32"/>
        </w:rPr>
        <w:t>（十四）负责林业科技、教育和外事工作；指导全市林业人才队伍建设；组织实施林业国际交流与合作事务；承担湿地、防治荒漠化、濒危野生动植物等国际公约履约工作。</w:t>
      </w:r>
    </w:p>
    <w:p>
      <w:pPr>
        <w:widowControl/>
        <w:shd w:val="clear" w:color="auto" w:fill="FFFFFF"/>
        <w:spacing w:before="100" w:after="100" w:line="560" w:lineRule="atLeast"/>
        <w:ind w:firstLine="470" w:firstLineChars="147"/>
        <w:jc w:val="left"/>
        <w:rPr>
          <w:rFonts w:ascii="仿宋" w:hAnsi="仿宋" w:eastAsia="仿宋" w:cs="仿宋"/>
          <w:sz w:val="32"/>
          <w:szCs w:val="32"/>
        </w:rPr>
      </w:pPr>
      <w:r>
        <w:rPr>
          <w:rFonts w:hint="eastAsia" w:ascii="仿宋" w:hAnsi="仿宋" w:eastAsia="仿宋" w:cs="仿宋"/>
          <w:sz w:val="32"/>
          <w:szCs w:val="32"/>
        </w:rPr>
        <w:t>（十五）完成市委、市政府交办的其他任务。</w:t>
      </w:r>
    </w:p>
    <w:p>
      <w:pPr>
        <w:widowControl/>
        <w:shd w:val="clear" w:color="auto" w:fill="FFFFFF"/>
        <w:spacing w:before="100" w:after="100" w:line="560" w:lineRule="atLeast"/>
        <w:ind w:firstLine="472" w:firstLineChars="147"/>
        <w:jc w:val="left"/>
        <w:rPr>
          <w:rFonts w:ascii="仿宋" w:hAnsi="仿宋" w:eastAsia="仿宋" w:cs="宋体"/>
          <w:color w:val="000000"/>
          <w:kern w:val="0"/>
          <w:sz w:val="32"/>
          <w:szCs w:val="32"/>
        </w:rPr>
      </w:pPr>
      <w:r>
        <w:rPr>
          <w:rFonts w:hint="eastAsia" w:ascii="仿宋" w:hAnsi="仿宋" w:eastAsia="仿宋" w:cs="宋体"/>
          <w:b/>
          <w:bCs/>
          <w:color w:val="000000"/>
          <w:kern w:val="0"/>
          <w:sz w:val="32"/>
          <w:szCs w:val="32"/>
        </w:rPr>
        <w:t>二、部门预算单位构成</w:t>
      </w:r>
      <w:r>
        <w:rPr>
          <w:rFonts w:hint="eastAsia" w:ascii="宋体" w:hAnsi="宋体" w:eastAsia="仿宋" w:cs="宋体"/>
          <w:b/>
          <w:bCs/>
          <w:color w:val="000000"/>
          <w:kern w:val="0"/>
          <w:sz w:val="32"/>
          <w:szCs w:val="32"/>
        </w:rPr>
        <w:t> </w:t>
      </w:r>
    </w:p>
    <w:p>
      <w:pPr>
        <w:widowControl/>
        <w:shd w:val="clear" w:color="auto" w:fill="FFFFFF"/>
        <w:spacing w:before="100" w:after="100" w:line="560" w:lineRule="atLeast"/>
        <w:ind w:firstLine="470" w:firstLineChars="147"/>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根据编委核定，我局内设股室七个，所属事业单位11个（含3个独立二级机构），全部纳入2022年部门预算编制范围。</w:t>
      </w:r>
      <w:r>
        <w:rPr>
          <w:rFonts w:hint="eastAsia" w:ascii="宋体" w:hAnsi="宋体" w:eastAsia="仿宋" w:cs="宋体"/>
          <w:color w:val="000000"/>
          <w:kern w:val="0"/>
          <w:sz w:val="32"/>
          <w:szCs w:val="32"/>
        </w:rPr>
        <w:t> </w:t>
      </w:r>
      <w:r>
        <w:rPr>
          <w:rFonts w:hint="eastAsia" w:ascii="仿宋" w:hAnsi="仿宋" w:eastAsia="仿宋" w:cs="Times New Roman"/>
          <w:sz w:val="32"/>
        </w:rPr>
        <w:t>内设股室分别是办公室、人事股、规划财务股、造林绿化股、资源林政股、自然保护地管理股、森林防火股。</w:t>
      </w:r>
      <w:r>
        <w:rPr>
          <w:rFonts w:hint="eastAsia" w:ascii="仿宋" w:hAnsi="仿宋" w:eastAsia="仿宋" w:cs="宋体"/>
          <w:color w:val="000000"/>
          <w:kern w:val="0"/>
          <w:sz w:val="32"/>
          <w:szCs w:val="32"/>
        </w:rPr>
        <w:t>所属事业单位分别是市林业综合行政执法大队、市森林病虫害防治保护站、市湿地保护站、市琼湖国家湿地公园事务中心、湖南省沅江市龙虎山林场、市林业科学研究所、市苗圃场（市目平湖林芦站）、市林木种苗和技术推广站、市林业调查事务中心、市南洞庭湖风景名胜事务中心、市林长制事务中心。</w:t>
      </w:r>
    </w:p>
    <w:p>
      <w:pPr>
        <w:widowControl/>
        <w:spacing w:line="520" w:lineRule="atLeast"/>
        <w:ind w:firstLine="420"/>
        <w:jc w:val="left"/>
        <w:rPr>
          <w:rFonts w:ascii="仿宋" w:hAnsi="仿宋" w:eastAsia="仿宋" w:cs="宋体"/>
          <w:b/>
          <w:bCs/>
          <w:color w:val="000000"/>
          <w:kern w:val="0"/>
          <w:sz w:val="32"/>
          <w:szCs w:val="32"/>
        </w:rPr>
      </w:pPr>
      <w:r>
        <w:rPr>
          <w:rFonts w:hint="eastAsia" w:ascii="仿宋" w:hAnsi="仿宋" w:eastAsia="仿宋" w:cs="宋体"/>
          <w:b/>
          <w:bCs/>
          <w:color w:val="000000"/>
          <w:kern w:val="0"/>
          <w:sz w:val="32"/>
          <w:szCs w:val="32"/>
        </w:rPr>
        <w:t>三、部门预算人员构成</w:t>
      </w:r>
    </w:p>
    <w:p>
      <w:pPr>
        <w:widowControl/>
        <w:spacing w:line="520" w:lineRule="atLeast"/>
        <w:ind w:firstLine="800" w:firstLineChars="250"/>
        <w:jc w:val="left"/>
        <w:rPr>
          <w:rFonts w:ascii="仿宋" w:hAnsi="仿宋" w:eastAsia="仿宋" w:cs="Times New Roman"/>
          <w:color w:val="000000"/>
          <w:sz w:val="32"/>
          <w:szCs w:val="32"/>
          <w:shd w:val="clear" w:color="auto" w:fill="FFFFFF"/>
        </w:rPr>
      </w:pPr>
      <w:r>
        <w:rPr>
          <w:rFonts w:hint="eastAsia" w:ascii="仿宋" w:hAnsi="仿宋" w:eastAsia="仿宋" w:cs="Times New Roman"/>
          <w:color w:val="000000"/>
          <w:sz w:val="32"/>
          <w:szCs w:val="32"/>
          <w:shd w:val="clear" w:color="auto" w:fill="FFFFFF"/>
        </w:rPr>
        <w:t>截止2022年12月（预算编制时间），我系统纳入部门预算编制123人。其中：实有在职人员77人，离退休人员46人;遗属5人，在职人员比上年增加1人。人员变化的主要原因是退伍军人安置。</w:t>
      </w:r>
    </w:p>
    <w:p>
      <w:pPr>
        <w:widowControl/>
        <w:shd w:val="clear" w:color="auto" w:fill="FFFFFF"/>
        <w:spacing w:before="100" w:after="100" w:line="560" w:lineRule="atLeast"/>
        <w:ind w:firstLine="472" w:firstLineChars="147"/>
        <w:jc w:val="left"/>
        <w:rPr>
          <w:rFonts w:ascii="仿宋" w:hAnsi="仿宋" w:eastAsia="仿宋" w:cs="宋体"/>
          <w:color w:val="000000"/>
          <w:kern w:val="0"/>
          <w:sz w:val="32"/>
          <w:szCs w:val="32"/>
        </w:rPr>
      </w:pPr>
      <w:r>
        <w:rPr>
          <w:rFonts w:hint="eastAsia" w:ascii="仿宋" w:hAnsi="仿宋" w:eastAsia="仿宋" w:cs="宋体"/>
          <w:b/>
          <w:bCs/>
          <w:color w:val="000000"/>
          <w:kern w:val="0"/>
          <w:sz w:val="32"/>
          <w:szCs w:val="32"/>
        </w:rPr>
        <w:t>四、2022年收支预算</w:t>
      </w:r>
    </w:p>
    <w:p>
      <w:pPr>
        <w:widowControl/>
        <w:shd w:val="clear" w:color="auto" w:fill="FFFFFF"/>
        <w:spacing w:before="100" w:after="100" w:line="560" w:lineRule="atLeast"/>
        <w:ind w:firstLine="555"/>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2022年部门预算包括本级预算和所属单位预算在内的汇总情况。按照预算管理有关规定，部门预算的编制实行综合预算制度，即全部收入和支出都反映在预算中。支出情况分别按资金来源、项目类别、功能分类科目和经济分类科目反映。</w:t>
      </w:r>
    </w:p>
    <w:p>
      <w:pPr>
        <w:widowControl/>
        <w:shd w:val="clear" w:color="auto" w:fill="FFFFFF"/>
        <w:spacing w:before="100" w:after="100" w:line="360" w:lineRule="auto"/>
        <w:ind w:firstLine="555"/>
        <w:jc w:val="left"/>
        <w:rPr>
          <w:rFonts w:ascii="仿宋" w:hAnsi="仿宋" w:eastAsia="仿宋" w:cs="宋体"/>
          <w:color w:val="000000"/>
          <w:kern w:val="0"/>
          <w:sz w:val="32"/>
          <w:szCs w:val="32"/>
        </w:rPr>
      </w:pPr>
      <w:r>
        <w:rPr>
          <w:rFonts w:hint="eastAsia" w:ascii="仿宋" w:hAnsi="仿宋" w:eastAsia="仿宋" w:cs="宋体"/>
          <w:b/>
          <w:bCs/>
          <w:color w:val="000000"/>
          <w:kern w:val="0"/>
          <w:sz w:val="32"/>
          <w:szCs w:val="32"/>
        </w:rPr>
        <w:t>（一）收入预算</w:t>
      </w:r>
    </w:p>
    <w:p>
      <w:pPr>
        <w:widowControl/>
        <w:shd w:val="clear" w:color="auto" w:fill="FFFFFF"/>
        <w:spacing w:before="100" w:after="100" w:line="360" w:lineRule="auto"/>
        <w:ind w:firstLine="640" w:firstLineChars="200"/>
        <w:jc w:val="left"/>
        <w:rPr>
          <w:rFonts w:ascii="仿宋" w:hAnsi="仿宋" w:eastAsia="仿宋" w:cs="Times New Roman"/>
          <w:color w:val="000000"/>
          <w:sz w:val="32"/>
          <w:szCs w:val="32"/>
          <w:shd w:val="clear" w:color="auto" w:fill="FFFFFF"/>
        </w:rPr>
      </w:pPr>
      <w:r>
        <w:rPr>
          <w:rFonts w:hint="eastAsia" w:ascii="仿宋" w:hAnsi="仿宋" w:eastAsia="仿宋" w:cs="Times New Roman"/>
          <w:color w:val="000000"/>
          <w:sz w:val="32"/>
          <w:szCs w:val="32"/>
          <w:shd w:val="clear" w:color="auto" w:fill="FFFFFF"/>
        </w:rPr>
        <w:t>2022年单位预算收入1039.48万元，其中：一般公共预算拨款1039.48万元。收入较去年减少182.24万元，主要是因为</w:t>
      </w:r>
      <w:r>
        <w:rPr>
          <w:rFonts w:hint="eastAsia" w:ascii="仿宋" w:hAnsi="仿宋" w:eastAsia="仿宋"/>
          <w:sz w:val="32"/>
          <w:szCs w:val="24"/>
        </w:rPr>
        <w:t>植被恢复费和杨树清退项目资金减少</w:t>
      </w:r>
      <w:r>
        <w:rPr>
          <w:rFonts w:hint="eastAsia" w:ascii="仿宋" w:hAnsi="仿宋" w:eastAsia="仿宋" w:cs="Times New Roman"/>
          <w:color w:val="000000"/>
          <w:sz w:val="32"/>
          <w:szCs w:val="32"/>
          <w:shd w:val="clear" w:color="auto" w:fill="FFFFFF"/>
        </w:rPr>
        <w:t>。</w:t>
      </w:r>
    </w:p>
    <w:p>
      <w:pPr>
        <w:widowControl/>
        <w:shd w:val="clear" w:color="auto" w:fill="FFFFFF"/>
        <w:spacing w:before="100" w:after="100" w:line="360" w:lineRule="auto"/>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　　</w:t>
      </w:r>
      <w:r>
        <w:rPr>
          <w:rFonts w:hint="eastAsia" w:ascii="仿宋" w:hAnsi="仿宋" w:eastAsia="仿宋" w:cs="宋体"/>
          <w:b/>
          <w:bCs/>
          <w:color w:val="000000"/>
          <w:kern w:val="0"/>
          <w:sz w:val="32"/>
          <w:szCs w:val="32"/>
        </w:rPr>
        <w:t>（二）支出预算</w:t>
      </w:r>
    </w:p>
    <w:p>
      <w:pPr>
        <w:widowControl/>
        <w:shd w:val="clear" w:color="auto" w:fill="FFFFFF"/>
        <w:spacing w:before="100" w:after="100" w:line="360" w:lineRule="auto"/>
        <w:ind w:firstLine="640" w:firstLineChars="200"/>
        <w:jc w:val="left"/>
        <w:rPr>
          <w:rFonts w:ascii="仿宋" w:hAnsi="仿宋" w:eastAsia="仿宋" w:cs="Times New Roman"/>
          <w:color w:val="000000"/>
          <w:sz w:val="32"/>
          <w:szCs w:val="32"/>
          <w:shd w:val="clear" w:color="auto" w:fill="FFFFFF"/>
        </w:rPr>
      </w:pPr>
      <w:r>
        <w:rPr>
          <w:rFonts w:hint="eastAsia" w:ascii="仿宋" w:hAnsi="仿宋" w:eastAsia="仿宋" w:cs="Times New Roman"/>
          <w:color w:val="000000"/>
          <w:sz w:val="32"/>
          <w:szCs w:val="32"/>
          <w:shd w:val="clear" w:color="auto" w:fill="FFFFFF"/>
        </w:rPr>
        <w:t>2022年单位预算支出1039.48万元，支出较去年减少了182.24万元，主要是因为</w:t>
      </w:r>
      <w:r>
        <w:rPr>
          <w:rFonts w:hint="eastAsia" w:ascii="仿宋" w:hAnsi="仿宋" w:eastAsia="仿宋"/>
          <w:sz w:val="32"/>
          <w:szCs w:val="24"/>
        </w:rPr>
        <w:t>植被恢复费和杨树清退项目资金减少</w:t>
      </w:r>
      <w:r>
        <w:rPr>
          <w:rFonts w:hint="eastAsia" w:ascii="仿宋" w:hAnsi="仿宋" w:eastAsia="仿宋" w:cs="Times New Roman"/>
          <w:color w:val="000000"/>
          <w:sz w:val="32"/>
          <w:szCs w:val="32"/>
          <w:shd w:val="clear" w:color="auto" w:fill="FFFFFF"/>
        </w:rPr>
        <w:t>。</w:t>
      </w:r>
    </w:p>
    <w:p>
      <w:pPr>
        <w:widowControl/>
        <w:shd w:val="clear" w:color="auto" w:fill="FFFFFF"/>
        <w:spacing w:before="100" w:after="100" w:line="360" w:lineRule="auto"/>
        <w:ind w:firstLine="640" w:firstLineChars="200"/>
        <w:jc w:val="left"/>
        <w:rPr>
          <w:rFonts w:ascii="仿宋" w:hAnsi="仿宋" w:eastAsia="仿宋" w:cs="Times New Roman"/>
          <w:color w:val="000000"/>
          <w:sz w:val="32"/>
          <w:szCs w:val="32"/>
          <w:shd w:val="clear" w:color="auto" w:fill="FFFFFF"/>
        </w:rPr>
      </w:pPr>
      <w:r>
        <w:rPr>
          <w:rFonts w:hint="eastAsia" w:ascii="仿宋" w:hAnsi="仿宋" w:eastAsia="仿宋" w:cs="Times New Roman"/>
          <w:color w:val="000000"/>
          <w:sz w:val="32"/>
          <w:szCs w:val="32"/>
          <w:shd w:val="clear" w:color="auto" w:fill="FFFFFF"/>
        </w:rPr>
        <w:t>1、一般公共预算拨款支出情况</w:t>
      </w:r>
    </w:p>
    <w:p>
      <w:pPr>
        <w:widowControl/>
        <w:shd w:val="clear" w:color="auto" w:fill="FFFFFF"/>
        <w:spacing w:line="360" w:lineRule="auto"/>
        <w:ind w:firstLine="640"/>
        <w:rPr>
          <w:rFonts w:ascii="仿宋" w:hAnsi="仿宋" w:eastAsia="仿宋" w:cs="Times New Roman"/>
          <w:color w:val="000000"/>
          <w:sz w:val="32"/>
          <w:szCs w:val="32"/>
          <w:shd w:val="clear" w:color="auto" w:fill="FFFFFF"/>
        </w:rPr>
      </w:pPr>
      <w:r>
        <w:rPr>
          <w:rFonts w:hint="eastAsia" w:ascii="仿宋" w:hAnsi="仿宋" w:eastAsia="仿宋" w:cs="Times New Roman"/>
          <w:color w:val="000000"/>
          <w:sz w:val="32"/>
          <w:szCs w:val="32"/>
          <w:shd w:val="clear" w:color="auto" w:fill="FFFFFF"/>
        </w:rPr>
        <w:t>2022年本部门一般公共预算拨款支出预算1039.48万元，其中，农林水支出978.41万元，占94.12%；住房保障支出61.07万元，占5.88%。</w:t>
      </w:r>
    </w:p>
    <w:p>
      <w:pPr>
        <w:widowControl/>
        <w:shd w:val="clear" w:color="auto" w:fill="FFFFFF"/>
        <w:spacing w:line="360" w:lineRule="auto"/>
        <w:ind w:firstLine="640"/>
        <w:rPr>
          <w:rFonts w:ascii="仿宋" w:hAnsi="仿宋" w:eastAsia="仿宋" w:cs="Times New Roman"/>
          <w:color w:val="000000"/>
          <w:sz w:val="32"/>
          <w:szCs w:val="32"/>
          <w:shd w:val="clear" w:color="auto" w:fill="FFFFFF"/>
        </w:rPr>
      </w:pPr>
      <w:r>
        <w:rPr>
          <w:rFonts w:hint="eastAsia" w:ascii="仿宋" w:hAnsi="仿宋" w:eastAsia="仿宋" w:cs="Times New Roman"/>
          <w:color w:val="000000"/>
          <w:sz w:val="32"/>
          <w:szCs w:val="32"/>
          <w:shd w:val="clear" w:color="auto" w:fill="FFFFFF"/>
        </w:rPr>
        <w:t>具体安排情况如下：</w:t>
      </w:r>
    </w:p>
    <w:p>
      <w:pPr>
        <w:widowControl/>
        <w:numPr>
          <w:ilvl w:val="0"/>
          <w:numId w:val="2"/>
        </w:numPr>
        <w:shd w:val="clear" w:color="auto" w:fill="FFFFFF"/>
        <w:spacing w:line="360" w:lineRule="auto"/>
        <w:rPr>
          <w:rFonts w:ascii="仿宋" w:hAnsi="仿宋" w:eastAsia="仿宋" w:cs="宋体"/>
          <w:color w:val="000000"/>
          <w:kern w:val="0"/>
          <w:sz w:val="32"/>
          <w:szCs w:val="32"/>
        </w:rPr>
      </w:pPr>
      <w:r>
        <w:rPr>
          <w:rFonts w:hint="eastAsia" w:ascii="仿宋" w:hAnsi="仿宋" w:eastAsia="仿宋" w:cs="宋体"/>
          <w:color w:val="000000"/>
          <w:kern w:val="0"/>
          <w:sz w:val="32"/>
          <w:szCs w:val="32"/>
        </w:rPr>
        <w:t>支出项目类别分：</w:t>
      </w:r>
    </w:p>
    <w:p>
      <w:pPr>
        <w:widowControl/>
        <w:shd w:val="clear" w:color="auto" w:fill="FFFFFF"/>
        <w:spacing w:line="560" w:lineRule="atLeast"/>
        <w:ind w:firstLine="640"/>
        <w:rPr>
          <w:rFonts w:ascii="仿宋" w:hAnsi="仿宋" w:eastAsia="仿宋" w:cs="仿宋"/>
          <w:kern w:val="0"/>
          <w:sz w:val="28"/>
          <w:szCs w:val="28"/>
        </w:rPr>
      </w:pPr>
      <w:r>
        <w:rPr>
          <w:rFonts w:hint="eastAsia" w:ascii="仿宋" w:hAnsi="仿宋" w:eastAsia="仿宋" w:cs="宋体"/>
          <w:color w:val="000000"/>
          <w:kern w:val="0"/>
          <w:sz w:val="32"/>
          <w:szCs w:val="32"/>
        </w:rPr>
        <w:t>基本支出800.48万元，分别为：人员经费支出708.05万元，其中</w:t>
      </w:r>
      <w:r>
        <w:rPr>
          <w:rFonts w:hint="eastAsia" w:ascii="仿宋" w:hAnsi="仿宋" w:eastAsia="仿宋" w:cs="宋体"/>
          <w:color w:val="000000"/>
          <w:kern w:val="0"/>
          <w:sz w:val="28"/>
          <w:szCs w:val="28"/>
        </w:rPr>
        <w:t>基本工资323.93万元，津贴84.48万元，奖金13.1万元，绩效工资102.87万元,社会保障缴费122.6万元,住房公积金61.07万元;</w:t>
      </w:r>
      <w:r>
        <w:rPr>
          <w:rFonts w:hint="eastAsia" w:ascii="仿宋" w:hAnsi="仿宋" w:eastAsia="仿宋" w:cs="宋体"/>
          <w:color w:val="000000"/>
          <w:kern w:val="0"/>
          <w:sz w:val="32"/>
          <w:szCs w:val="32"/>
        </w:rPr>
        <w:t>公用经费支出77万元;</w:t>
      </w:r>
      <w:r>
        <w:rPr>
          <w:rFonts w:hint="eastAsia" w:ascii="仿宋" w:hAnsi="仿宋" w:eastAsia="仿宋" w:cs="仿宋"/>
          <w:kern w:val="0"/>
          <w:sz w:val="28"/>
          <w:szCs w:val="28"/>
        </w:rPr>
        <w:t>对个人和家庭的补助支出15.42万元。</w:t>
      </w:r>
    </w:p>
    <w:p>
      <w:pPr>
        <w:widowControl/>
        <w:shd w:val="clear" w:color="auto" w:fill="FFFFFF"/>
        <w:spacing w:line="560" w:lineRule="atLeast"/>
        <w:ind w:firstLine="640" w:firstLineChars="200"/>
        <w:rPr>
          <w:rFonts w:ascii="仿宋" w:hAnsi="仿宋" w:eastAsia="仿宋" w:cs="宋体"/>
          <w:color w:val="000000"/>
          <w:kern w:val="0"/>
          <w:sz w:val="32"/>
          <w:szCs w:val="32"/>
        </w:rPr>
      </w:pPr>
      <w:r>
        <w:rPr>
          <w:rFonts w:hint="eastAsia" w:ascii="仿宋" w:hAnsi="仿宋" w:eastAsia="仿宋" w:cs="宋体"/>
          <w:color w:val="000000"/>
          <w:kern w:val="0"/>
          <w:sz w:val="32"/>
          <w:szCs w:val="32"/>
        </w:rPr>
        <w:t>项目支出239万元，其中:</w:t>
      </w:r>
      <w:r>
        <w:rPr>
          <w:rFonts w:hint="eastAsia"/>
        </w:rPr>
        <w:t xml:space="preserve"> </w:t>
      </w:r>
      <w:r>
        <w:rPr>
          <w:rFonts w:hint="eastAsia" w:ascii="仿宋" w:hAnsi="仿宋" w:eastAsia="仿宋" w:cs="宋体"/>
          <w:color w:val="000000"/>
          <w:kern w:val="0"/>
          <w:sz w:val="32"/>
          <w:szCs w:val="32"/>
        </w:rPr>
        <w:t>龙虎山林场改革补助支出178万元；B古树名木保护支出8万元；非税收入征收成本支出20万元；病虫害防治4万元；野生动植物保护支出4万元；森林防火支出5万元；林长制工作经费支出20万元。</w:t>
      </w:r>
    </w:p>
    <w:p>
      <w:pPr>
        <w:pStyle w:val="10"/>
        <w:widowControl/>
        <w:numPr>
          <w:ilvl w:val="0"/>
          <w:numId w:val="2"/>
        </w:numPr>
        <w:shd w:val="clear" w:color="auto" w:fill="FFFFFF"/>
        <w:spacing w:before="100" w:after="100" w:line="360" w:lineRule="auto"/>
        <w:ind w:firstLineChars="0"/>
        <w:jc w:val="left"/>
        <w:rPr>
          <w:rFonts w:ascii="仿宋" w:hAnsi="仿宋" w:eastAsia="仿宋" w:cs="Times New Roman"/>
          <w:color w:val="000000"/>
          <w:sz w:val="32"/>
          <w:szCs w:val="32"/>
          <w:shd w:val="clear" w:color="auto" w:fill="FFFFFF"/>
        </w:rPr>
      </w:pPr>
      <w:r>
        <w:rPr>
          <w:rFonts w:hint="eastAsia" w:ascii="仿宋" w:hAnsi="仿宋" w:eastAsia="仿宋" w:cs="Times New Roman"/>
          <w:color w:val="000000"/>
          <w:sz w:val="32"/>
          <w:szCs w:val="32"/>
          <w:shd w:val="clear" w:color="auto" w:fill="FFFFFF"/>
        </w:rPr>
        <w:t>支出功能分类股目：</w:t>
      </w:r>
    </w:p>
    <w:p>
      <w:pPr>
        <w:widowControl/>
        <w:shd w:val="clear" w:color="auto" w:fill="FFFFFF"/>
        <w:spacing w:line="560" w:lineRule="atLeast"/>
        <w:ind w:firstLine="640"/>
        <w:rPr>
          <w:rFonts w:ascii="仿宋" w:hAnsi="仿宋" w:eastAsia="仿宋" w:cs="宋体"/>
          <w:color w:val="000000"/>
          <w:kern w:val="0"/>
          <w:sz w:val="32"/>
          <w:szCs w:val="32"/>
        </w:rPr>
      </w:pPr>
      <w:r>
        <w:rPr>
          <w:rFonts w:hint="eastAsia" w:ascii="仿宋" w:hAnsi="仿宋" w:eastAsia="仿宋" w:cs="宋体"/>
          <w:color w:val="000000"/>
          <w:kern w:val="0"/>
          <w:sz w:val="32"/>
          <w:szCs w:val="32"/>
        </w:rPr>
        <w:t>2130201行政运行917.41万元；</w:t>
      </w:r>
    </w:p>
    <w:p>
      <w:pPr>
        <w:widowControl/>
        <w:shd w:val="clear" w:color="auto" w:fill="FFFFFF"/>
        <w:spacing w:line="560" w:lineRule="atLeast"/>
        <w:ind w:firstLine="640"/>
        <w:rPr>
          <w:rFonts w:ascii="仿宋" w:hAnsi="仿宋" w:eastAsia="仿宋" w:cs="宋体"/>
          <w:color w:val="000000"/>
          <w:kern w:val="0"/>
          <w:sz w:val="32"/>
          <w:szCs w:val="32"/>
        </w:rPr>
      </w:pPr>
      <w:r>
        <w:rPr>
          <w:rFonts w:hint="eastAsia" w:ascii="仿宋" w:hAnsi="仿宋" w:eastAsia="仿宋" w:cs="宋体"/>
          <w:color w:val="000000"/>
          <w:kern w:val="0"/>
          <w:sz w:val="32"/>
          <w:szCs w:val="32"/>
        </w:rPr>
        <w:t>2130202一般行政管理实务61万元；</w:t>
      </w:r>
    </w:p>
    <w:p>
      <w:pPr>
        <w:widowControl/>
        <w:shd w:val="clear" w:color="auto" w:fill="FFFFFF"/>
        <w:spacing w:line="560" w:lineRule="atLeast"/>
        <w:ind w:firstLine="640"/>
        <w:rPr>
          <w:rFonts w:ascii="仿宋" w:hAnsi="仿宋" w:eastAsia="仿宋" w:cs="宋体"/>
          <w:color w:val="000000"/>
          <w:kern w:val="0"/>
          <w:sz w:val="32"/>
          <w:szCs w:val="32"/>
        </w:rPr>
      </w:pPr>
      <w:r>
        <w:rPr>
          <w:rFonts w:hint="eastAsia" w:ascii="仿宋" w:hAnsi="仿宋" w:eastAsia="仿宋" w:cs="宋体"/>
          <w:color w:val="000000"/>
          <w:kern w:val="0"/>
          <w:sz w:val="32"/>
          <w:szCs w:val="32"/>
        </w:rPr>
        <w:t xml:space="preserve">2210201 住房公积金61.07万元。 </w:t>
      </w:r>
    </w:p>
    <w:p>
      <w:pPr>
        <w:widowControl/>
        <w:shd w:val="clear" w:color="auto" w:fill="FFFFFF"/>
        <w:spacing w:line="560" w:lineRule="atLeast"/>
        <w:ind w:firstLine="640"/>
        <w:rPr>
          <w:rFonts w:ascii="仿宋" w:hAnsi="仿宋" w:eastAsia="仿宋" w:cs="宋体"/>
          <w:color w:val="000000"/>
          <w:kern w:val="0"/>
          <w:sz w:val="32"/>
          <w:szCs w:val="32"/>
        </w:rPr>
      </w:pPr>
      <w:r>
        <w:rPr>
          <w:rFonts w:hint="eastAsia" w:ascii="仿宋" w:hAnsi="仿宋" w:eastAsia="仿宋" w:cs="宋体"/>
          <w:color w:val="000000"/>
          <w:kern w:val="0"/>
          <w:sz w:val="32"/>
          <w:szCs w:val="32"/>
        </w:rPr>
        <w:t>3、按支出经济分类股目：</w:t>
      </w:r>
    </w:p>
    <w:p>
      <w:pPr>
        <w:widowControl/>
        <w:shd w:val="clear" w:color="auto" w:fill="FFFFFF"/>
        <w:spacing w:line="560" w:lineRule="atLeast"/>
        <w:ind w:firstLine="640"/>
        <w:rPr>
          <w:rFonts w:ascii="仿宋" w:hAnsi="仿宋" w:eastAsia="仿宋" w:cs="宋体"/>
          <w:color w:val="000000"/>
          <w:kern w:val="0"/>
          <w:sz w:val="32"/>
          <w:szCs w:val="32"/>
        </w:rPr>
      </w:pPr>
      <w:r>
        <w:rPr>
          <w:rFonts w:hint="eastAsia" w:ascii="仿宋" w:hAnsi="仿宋" w:eastAsia="仿宋" w:cs="宋体"/>
          <w:color w:val="000000"/>
          <w:kern w:val="0"/>
          <w:sz w:val="32"/>
          <w:szCs w:val="32"/>
        </w:rPr>
        <w:t>工资福利支出708.05万元；</w:t>
      </w:r>
    </w:p>
    <w:p>
      <w:pPr>
        <w:widowControl/>
        <w:shd w:val="clear" w:color="auto" w:fill="FFFFFF"/>
        <w:spacing w:line="560" w:lineRule="atLeast"/>
        <w:ind w:firstLine="640"/>
        <w:rPr>
          <w:rFonts w:ascii="仿宋" w:hAnsi="仿宋" w:eastAsia="仿宋" w:cs="宋体"/>
          <w:color w:val="000000"/>
          <w:kern w:val="0"/>
          <w:sz w:val="32"/>
          <w:szCs w:val="32"/>
        </w:rPr>
      </w:pPr>
      <w:r>
        <w:rPr>
          <w:rFonts w:hint="eastAsia" w:ascii="仿宋" w:hAnsi="仿宋" w:eastAsia="仿宋" w:cs="宋体"/>
          <w:color w:val="000000"/>
          <w:kern w:val="0"/>
          <w:sz w:val="32"/>
          <w:szCs w:val="32"/>
        </w:rPr>
        <w:t>商品和服务支出77万元；</w:t>
      </w:r>
    </w:p>
    <w:p>
      <w:pPr>
        <w:widowControl/>
        <w:shd w:val="clear" w:color="auto" w:fill="FFFFFF"/>
        <w:spacing w:line="560" w:lineRule="atLeast"/>
        <w:ind w:firstLine="640"/>
        <w:rPr>
          <w:rFonts w:ascii="仿宋" w:hAnsi="仿宋" w:eastAsia="仿宋" w:cs="宋体"/>
          <w:color w:val="000000"/>
          <w:kern w:val="0"/>
          <w:sz w:val="32"/>
          <w:szCs w:val="32"/>
        </w:rPr>
      </w:pPr>
      <w:r>
        <w:rPr>
          <w:rFonts w:hint="eastAsia" w:ascii="仿宋" w:hAnsi="仿宋" w:eastAsia="仿宋" w:cs="宋体"/>
          <w:color w:val="000000"/>
          <w:kern w:val="0"/>
          <w:sz w:val="32"/>
          <w:szCs w:val="32"/>
        </w:rPr>
        <w:t>对个人和家庭的补助支出15.42万元；</w:t>
      </w:r>
    </w:p>
    <w:p>
      <w:pPr>
        <w:widowControl/>
        <w:shd w:val="clear" w:color="auto" w:fill="FFFFFF"/>
        <w:spacing w:line="560" w:lineRule="atLeast"/>
        <w:ind w:firstLine="640"/>
        <w:rPr>
          <w:rFonts w:ascii="仿宋" w:hAnsi="仿宋" w:eastAsia="仿宋" w:cs="宋体"/>
          <w:color w:val="000000"/>
          <w:kern w:val="0"/>
          <w:sz w:val="32"/>
          <w:szCs w:val="32"/>
        </w:rPr>
      </w:pPr>
      <w:r>
        <w:rPr>
          <w:rFonts w:hint="eastAsia" w:ascii="仿宋" w:hAnsi="仿宋" w:eastAsia="仿宋" w:cs="宋体"/>
          <w:color w:val="000000"/>
          <w:kern w:val="0"/>
          <w:sz w:val="32"/>
          <w:szCs w:val="32"/>
        </w:rPr>
        <w:t>项目支出239万元；</w:t>
      </w:r>
    </w:p>
    <w:p>
      <w:pPr>
        <w:widowControl/>
        <w:shd w:val="clear" w:color="auto" w:fill="FFFFFF"/>
        <w:spacing w:before="100" w:after="100" w:line="360" w:lineRule="auto"/>
        <w:ind w:firstLine="640" w:firstLineChars="200"/>
        <w:jc w:val="left"/>
        <w:rPr>
          <w:rFonts w:ascii="仿宋" w:hAnsi="仿宋" w:eastAsia="仿宋" w:cs="Times New Roman"/>
          <w:color w:val="000000"/>
          <w:sz w:val="32"/>
          <w:szCs w:val="32"/>
          <w:shd w:val="clear" w:color="auto" w:fill="FFFFFF"/>
        </w:rPr>
      </w:pPr>
      <w:r>
        <w:rPr>
          <w:rFonts w:hint="eastAsia" w:ascii="仿宋" w:hAnsi="仿宋" w:eastAsia="仿宋" w:cs="Times New Roman"/>
          <w:color w:val="000000"/>
          <w:sz w:val="32"/>
          <w:szCs w:val="32"/>
          <w:shd w:val="clear" w:color="auto" w:fill="FFFFFF"/>
        </w:rPr>
        <w:t>2022年全年收支预算平衡。</w:t>
      </w:r>
    </w:p>
    <w:p>
      <w:pPr>
        <w:widowControl/>
        <w:numPr>
          <w:ilvl w:val="0"/>
          <w:numId w:val="3"/>
        </w:numPr>
        <w:shd w:val="clear" w:color="auto" w:fill="FFFFFF"/>
        <w:spacing w:before="100" w:after="100" w:line="560" w:lineRule="atLeast"/>
        <w:ind w:firstLine="472" w:firstLineChars="147"/>
        <w:jc w:val="left"/>
        <w:rPr>
          <w:rFonts w:ascii="仿宋" w:hAnsi="仿宋" w:eastAsia="仿宋" w:cs="宋体"/>
          <w:b/>
          <w:bCs/>
          <w:color w:val="000000"/>
          <w:kern w:val="0"/>
          <w:sz w:val="32"/>
          <w:szCs w:val="32"/>
        </w:rPr>
      </w:pPr>
      <w:r>
        <w:rPr>
          <w:rFonts w:hint="eastAsia" w:ascii="仿宋" w:hAnsi="仿宋" w:eastAsia="仿宋" w:cs="宋体"/>
          <w:b/>
          <w:bCs/>
          <w:color w:val="000000"/>
          <w:kern w:val="0"/>
          <w:sz w:val="32"/>
          <w:szCs w:val="32"/>
        </w:rPr>
        <w:t>其他重要事项</w:t>
      </w:r>
    </w:p>
    <w:p>
      <w:pPr>
        <w:numPr>
          <w:ilvl w:val="0"/>
          <w:numId w:val="4"/>
        </w:numPr>
        <w:ind w:firstLine="640" w:firstLineChars="200"/>
        <w:rPr>
          <w:rFonts w:ascii="仿宋" w:hAnsi="仿宋" w:eastAsia="仿宋" w:cs="宋体"/>
          <w:color w:val="000000"/>
          <w:kern w:val="0"/>
          <w:sz w:val="32"/>
          <w:szCs w:val="32"/>
          <w:highlight w:val="none"/>
        </w:rPr>
      </w:pPr>
      <w:r>
        <w:rPr>
          <w:rFonts w:hint="eastAsia" w:ascii="仿宋" w:hAnsi="仿宋" w:eastAsia="仿宋" w:cs="宋体"/>
          <w:color w:val="000000"/>
          <w:kern w:val="0"/>
          <w:sz w:val="32"/>
          <w:szCs w:val="32"/>
          <w:highlight w:val="none"/>
        </w:rPr>
        <w:t>机关运行经费执行情况</w:t>
      </w:r>
    </w:p>
    <w:p>
      <w:pPr>
        <w:ind w:firstLine="600"/>
        <w:rPr>
          <w:rFonts w:ascii="仿宋" w:hAnsi="仿宋" w:eastAsia="仿宋" w:cs="宋体"/>
          <w:color w:val="000000"/>
          <w:kern w:val="0"/>
          <w:sz w:val="32"/>
          <w:szCs w:val="32"/>
          <w:highlight w:val="none"/>
        </w:rPr>
      </w:pPr>
      <w:r>
        <w:rPr>
          <w:rFonts w:hint="eastAsia" w:ascii="仿宋" w:hAnsi="仿宋" w:eastAsia="仿宋" w:cs="宋体"/>
          <w:color w:val="000000"/>
          <w:kern w:val="0"/>
          <w:sz w:val="32"/>
          <w:szCs w:val="32"/>
          <w:highlight w:val="none"/>
        </w:rPr>
        <w:t>2022年单位的机关运行经费当年一般公共预算拨款76万元，比2021年预算减少15万元，下降16.48%。（减少）原因为机构改革林业管理站转录到各乡镇人员减少。</w:t>
      </w:r>
    </w:p>
    <w:p>
      <w:pPr>
        <w:ind w:firstLine="600"/>
        <w:rPr>
          <w:rFonts w:ascii="仿宋" w:hAnsi="仿宋" w:eastAsia="仿宋" w:cs="宋体"/>
          <w:color w:val="000000"/>
          <w:kern w:val="0"/>
          <w:sz w:val="32"/>
          <w:szCs w:val="32"/>
        </w:rPr>
      </w:pPr>
      <w:r>
        <w:rPr>
          <w:rFonts w:hint="eastAsia" w:ascii="仿宋" w:hAnsi="仿宋" w:eastAsia="仿宋" w:cs="Times New Roman"/>
          <w:color w:val="333333"/>
          <w:sz w:val="30"/>
          <w:szCs w:val="30"/>
        </w:rPr>
        <w:t xml:space="preserve">   </w:t>
      </w:r>
      <w:r>
        <w:rPr>
          <w:rFonts w:hint="eastAsia" w:ascii="仿宋" w:hAnsi="仿宋" w:eastAsia="仿宋" w:cs="宋体"/>
          <w:color w:val="000000"/>
          <w:kern w:val="0"/>
          <w:sz w:val="32"/>
          <w:szCs w:val="32"/>
        </w:rPr>
        <w:t>（二）“三公”经费情况</w:t>
      </w:r>
    </w:p>
    <w:p>
      <w:pPr>
        <w:ind w:firstLine="600"/>
        <w:rPr>
          <w:rFonts w:ascii="仿宋" w:hAnsi="仿宋" w:eastAsia="仿宋" w:cs="宋体"/>
          <w:color w:val="000000"/>
          <w:kern w:val="0"/>
          <w:sz w:val="32"/>
          <w:szCs w:val="32"/>
        </w:rPr>
      </w:pPr>
      <w:r>
        <w:rPr>
          <w:rFonts w:hint="eastAsia" w:ascii="仿宋" w:hAnsi="仿宋" w:eastAsia="仿宋" w:cs="宋体"/>
          <w:color w:val="000000"/>
          <w:kern w:val="0"/>
          <w:sz w:val="32"/>
          <w:szCs w:val="32"/>
        </w:rPr>
        <w:t>2022年，我系统 “三公”经费财政拨款预算数0万元，同比上年减少1.7万元，减少原因</w:t>
      </w:r>
      <w:r>
        <w:rPr>
          <w:rFonts w:hint="eastAsia" w:ascii="仿宋_GB2312" w:eastAsia="仿宋_GB2312"/>
          <w:sz w:val="32"/>
          <w:szCs w:val="32"/>
        </w:rPr>
        <w:t>厉行节约缩减开支</w:t>
      </w:r>
      <w:r>
        <w:rPr>
          <w:rFonts w:hint="eastAsia" w:ascii="仿宋" w:hAnsi="仿宋" w:eastAsia="仿宋" w:cs="宋体"/>
          <w:color w:val="000000"/>
          <w:kern w:val="0"/>
          <w:sz w:val="32"/>
          <w:szCs w:val="32"/>
        </w:rPr>
        <w:t>。</w:t>
      </w:r>
    </w:p>
    <w:p>
      <w:pPr>
        <w:spacing w:line="600" w:lineRule="exact"/>
        <w:ind w:firstLine="643" w:firstLineChars="200"/>
        <w:rPr>
          <w:rFonts w:ascii="仿宋" w:hAnsi="仿宋" w:eastAsia="仿宋" w:cs="Times New Roman"/>
          <w:b/>
          <w:sz w:val="32"/>
          <w:szCs w:val="32"/>
          <w:highlight w:val="none"/>
        </w:rPr>
      </w:pPr>
      <w:r>
        <w:rPr>
          <w:rFonts w:ascii="仿宋" w:hAnsi="仿宋" w:eastAsia="仿宋" w:cs="Times New Roman"/>
          <w:b/>
          <w:sz w:val="32"/>
          <w:szCs w:val="32"/>
          <w:highlight w:val="none"/>
        </w:rPr>
        <w:t>（三）</w:t>
      </w:r>
      <w:r>
        <w:rPr>
          <w:rFonts w:ascii="仿宋" w:hAnsi="仿宋" w:eastAsia="仿宋" w:cs="Times New Roman"/>
          <w:sz w:val="32"/>
          <w:szCs w:val="32"/>
          <w:highlight w:val="none"/>
        </w:rPr>
        <w:t>一般性支出情况：</w:t>
      </w:r>
      <w:r>
        <w:rPr>
          <w:rFonts w:ascii="仿宋" w:hAnsi="仿宋" w:eastAsia="仿宋" w:cs="Times New Roman"/>
          <w:kern w:val="0"/>
          <w:sz w:val="32"/>
          <w:szCs w:val="32"/>
          <w:highlight w:val="none"/>
        </w:rPr>
        <w:t>2022年本</w:t>
      </w:r>
      <w:r>
        <w:rPr>
          <w:rFonts w:hint="eastAsia" w:ascii="仿宋" w:hAnsi="仿宋" w:eastAsia="仿宋" w:cs="Times New Roman"/>
          <w:kern w:val="0"/>
          <w:sz w:val="32"/>
          <w:szCs w:val="32"/>
          <w:highlight w:val="none"/>
        </w:rPr>
        <w:t>局培训费预算0.5万元，主要用于</w:t>
      </w:r>
      <w:r>
        <w:rPr>
          <w:rFonts w:hint="eastAsia" w:ascii="仿宋" w:hAnsi="仿宋" w:eastAsia="仿宋" w:cs="Times New Roman"/>
          <w:sz w:val="32"/>
          <w:szCs w:val="32"/>
          <w:highlight w:val="none"/>
          <w:shd w:val="clear" w:color="auto" w:fill="FFFFFF"/>
        </w:rPr>
        <w:t>开展及参加候鸟保护及野生动物保护相关业务培训</w:t>
      </w:r>
      <w:r>
        <w:rPr>
          <w:rFonts w:hint="eastAsia" w:ascii="仿宋" w:hAnsi="仿宋" w:eastAsia="仿宋" w:cs="Times New Roman"/>
          <w:kern w:val="0"/>
          <w:sz w:val="32"/>
          <w:szCs w:val="32"/>
          <w:highlight w:val="none"/>
        </w:rPr>
        <w:t>所需的费用，人数10个。差旅费预算6万元，主要用于下乡调查，工程项目验收，去上级部门争取立项所需的差旅费用。</w:t>
      </w:r>
    </w:p>
    <w:p>
      <w:pPr>
        <w:ind w:firstLine="480" w:firstLineChars="150"/>
        <w:rPr>
          <w:rFonts w:ascii="仿宋" w:hAnsi="仿宋" w:eastAsia="仿宋" w:cs="宋体"/>
          <w:color w:val="000000"/>
          <w:kern w:val="0"/>
          <w:sz w:val="32"/>
          <w:szCs w:val="32"/>
        </w:rPr>
      </w:pPr>
      <w:r>
        <w:rPr>
          <w:rFonts w:hint="eastAsia" w:ascii="仿宋" w:hAnsi="仿宋" w:eastAsia="仿宋" w:cs="宋体"/>
          <w:color w:val="000000"/>
          <w:kern w:val="0"/>
          <w:sz w:val="32"/>
          <w:szCs w:val="32"/>
        </w:rPr>
        <w:t>（四）政府采购情况</w:t>
      </w:r>
    </w:p>
    <w:p>
      <w:pPr>
        <w:widowControl/>
        <w:spacing w:line="600" w:lineRule="exact"/>
        <w:ind w:firstLine="660"/>
        <w:rPr>
          <w:rFonts w:ascii="仿宋" w:hAnsi="仿宋" w:eastAsia="仿宋" w:cs="Times New Roman"/>
          <w:sz w:val="32"/>
          <w:szCs w:val="32"/>
          <w:highlight w:val="none"/>
        </w:rPr>
      </w:pPr>
      <w:r>
        <w:rPr>
          <w:rFonts w:ascii="仿宋" w:hAnsi="仿宋" w:eastAsia="仿宋" w:cs="Times New Roman"/>
          <w:sz w:val="32"/>
          <w:szCs w:val="32"/>
          <w:highlight w:val="none"/>
        </w:rPr>
        <w:t>2022年本部门政府采购预算总额</w:t>
      </w:r>
      <w:r>
        <w:rPr>
          <w:rFonts w:hint="eastAsia" w:ascii="仿宋" w:hAnsi="仿宋" w:eastAsia="仿宋" w:cs="Times New Roman"/>
          <w:sz w:val="32"/>
          <w:szCs w:val="32"/>
          <w:highlight w:val="none"/>
        </w:rPr>
        <w:t>0</w:t>
      </w:r>
      <w:r>
        <w:rPr>
          <w:rFonts w:ascii="仿宋" w:hAnsi="仿宋" w:eastAsia="仿宋" w:cs="Times New Roman"/>
          <w:sz w:val="32"/>
          <w:szCs w:val="32"/>
          <w:highlight w:val="none"/>
        </w:rPr>
        <w:t>万元，其中，货物类采购预算</w:t>
      </w:r>
      <w:r>
        <w:rPr>
          <w:rFonts w:hint="eastAsia" w:ascii="仿宋" w:hAnsi="仿宋" w:eastAsia="仿宋" w:cs="Times New Roman"/>
          <w:sz w:val="32"/>
          <w:szCs w:val="32"/>
          <w:highlight w:val="none"/>
        </w:rPr>
        <w:t>0</w:t>
      </w:r>
      <w:r>
        <w:rPr>
          <w:rFonts w:ascii="仿宋" w:hAnsi="仿宋" w:eastAsia="仿宋" w:cs="Times New Roman"/>
          <w:sz w:val="32"/>
          <w:szCs w:val="32"/>
          <w:highlight w:val="none"/>
        </w:rPr>
        <w:t>万元；工程类采购预算</w:t>
      </w:r>
      <w:r>
        <w:rPr>
          <w:rFonts w:hint="eastAsia" w:ascii="仿宋" w:hAnsi="仿宋" w:eastAsia="仿宋" w:cs="Times New Roman"/>
          <w:sz w:val="32"/>
          <w:szCs w:val="32"/>
          <w:highlight w:val="none"/>
        </w:rPr>
        <w:t>0</w:t>
      </w:r>
      <w:r>
        <w:rPr>
          <w:rFonts w:ascii="仿宋" w:hAnsi="仿宋" w:eastAsia="仿宋" w:cs="Times New Roman"/>
          <w:sz w:val="32"/>
          <w:szCs w:val="32"/>
          <w:highlight w:val="none"/>
        </w:rPr>
        <w:t>万元；服务类采购预算</w:t>
      </w:r>
      <w:r>
        <w:rPr>
          <w:rFonts w:hint="eastAsia" w:ascii="仿宋" w:hAnsi="仿宋" w:eastAsia="仿宋" w:cs="Times New Roman"/>
          <w:sz w:val="32"/>
          <w:szCs w:val="32"/>
          <w:highlight w:val="none"/>
        </w:rPr>
        <w:t>0</w:t>
      </w:r>
      <w:r>
        <w:rPr>
          <w:rFonts w:ascii="仿宋" w:hAnsi="仿宋" w:eastAsia="仿宋" w:cs="Times New Roman"/>
          <w:sz w:val="32"/>
          <w:szCs w:val="32"/>
          <w:highlight w:val="none"/>
        </w:rPr>
        <w:t>万元。</w:t>
      </w:r>
    </w:p>
    <w:p>
      <w:pPr>
        <w:ind w:firstLine="480" w:firstLineChars="150"/>
        <w:rPr>
          <w:rFonts w:ascii="仿宋" w:hAnsi="仿宋" w:eastAsia="仿宋" w:cs="宋体"/>
          <w:color w:val="000000"/>
          <w:kern w:val="0"/>
          <w:sz w:val="32"/>
          <w:szCs w:val="32"/>
          <w:highlight w:val="none"/>
        </w:rPr>
      </w:pPr>
      <w:r>
        <w:rPr>
          <w:rFonts w:hint="eastAsia" w:ascii="仿宋" w:hAnsi="仿宋" w:eastAsia="仿宋" w:cs="宋体"/>
          <w:color w:val="000000"/>
          <w:kern w:val="0"/>
          <w:sz w:val="32"/>
          <w:szCs w:val="32"/>
          <w:highlight w:val="none"/>
        </w:rPr>
        <w:t>（五）国有资产占用使用情况</w:t>
      </w:r>
    </w:p>
    <w:p>
      <w:pPr>
        <w:widowControl/>
        <w:spacing w:line="520" w:lineRule="atLeast"/>
        <w:ind w:firstLine="640" w:firstLineChars="200"/>
        <w:jc w:val="left"/>
        <w:rPr>
          <w:rFonts w:ascii="仿宋" w:hAnsi="仿宋" w:eastAsia="仿宋" w:cs="宋体"/>
          <w:color w:val="000000"/>
          <w:kern w:val="0"/>
          <w:sz w:val="28"/>
          <w:szCs w:val="28"/>
          <w:highlight w:val="none"/>
        </w:rPr>
      </w:pPr>
      <w:r>
        <w:rPr>
          <w:rFonts w:hint="eastAsia" w:ascii="仿宋" w:hAnsi="仿宋" w:eastAsia="仿宋" w:cs="宋体"/>
          <w:color w:val="000000"/>
          <w:kern w:val="0"/>
          <w:sz w:val="32"/>
          <w:szCs w:val="32"/>
          <w:highlight w:val="none"/>
        </w:rPr>
        <w:t xml:space="preserve"> 截止2022年12月31日，</w:t>
      </w:r>
      <w:r>
        <w:rPr>
          <w:rFonts w:hint="eastAsia" w:ascii="仿宋" w:hAnsi="仿宋" w:eastAsia="仿宋" w:cs="仿宋"/>
          <w:kern w:val="0"/>
          <w:sz w:val="28"/>
          <w:szCs w:val="28"/>
          <w:highlight w:val="none"/>
        </w:rPr>
        <w:t>我单位共有车辆1辆，价值10万元；房屋建筑物6套,价值127.93万元,电脑142台，价值77.60万元；其他通用设备320台（套），价值169.06万元，办公桌椅等家具726件，价值44.06万元；资产总价值417万元，</w:t>
      </w:r>
      <w:r>
        <w:rPr>
          <w:rFonts w:hint="eastAsia" w:ascii="仿宋" w:hAnsi="仿宋" w:eastAsia="仿宋" w:cs="宋体"/>
          <w:color w:val="000000"/>
          <w:kern w:val="0"/>
          <w:sz w:val="28"/>
          <w:szCs w:val="28"/>
          <w:highlight w:val="none"/>
        </w:rPr>
        <w:t>已提折旧284.09万元,净值为132.91万元。</w:t>
      </w:r>
    </w:p>
    <w:p>
      <w:pPr>
        <w:widowControl/>
        <w:spacing w:line="520" w:lineRule="atLeast"/>
        <w:ind w:firstLine="640" w:firstLineChars="200"/>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（六）预算绩效评价情况</w:t>
      </w:r>
    </w:p>
    <w:p>
      <w:pPr>
        <w:widowControl/>
        <w:shd w:val="clear" w:color="auto" w:fill="FFFFFF"/>
        <w:spacing w:line="524" w:lineRule="atLeast"/>
        <w:ind w:firstLine="640" w:firstLineChars="200"/>
        <w:rPr>
          <w:rFonts w:ascii="仿宋" w:hAnsi="仿宋" w:eastAsia="仿宋" w:cs="宋体"/>
          <w:color w:val="000000"/>
          <w:kern w:val="0"/>
          <w:sz w:val="32"/>
          <w:szCs w:val="32"/>
        </w:rPr>
      </w:pPr>
      <w:r>
        <w:rPr>
          <w:rFonts w:hint="eastAsia" w:ascii="仿宋" w:hAnsi="仿宋" w:eastAsia="仿宋" w:cs="宋体"/>
          <w:color w:val="000000"/>
          <w:kern w:val="0"/>
          <w:sz w:val="32"/>
          <w:szCs w:val="32"/>
        </w:rPr>
        <w:t>2022年度，本部门整体支出和项目支出实行绩效目标管理，纳入2022年部门整体支出绩效目标的金额1039.48万元，其中，基本支出800.48万元，项目支出239万元。</w:t>
      </w:r>
    </w:p>
    <w:p>
      <w:pPr>
        <w:widowControl/>
        <w:shd w:val="clear" w:color="auto" w:fill="FFFFFF"/>
        <w:spacing w:line="524" w:lineRule="atLeast"/>
        <w:ind w:firstLine="640" w:firstLineChars="200"/>
        <w:rPr>
          <w:rFonts w:ascii="仿宋" w:hAnsi="仿宋" w:eastAsia="仿宋" w:cs="宋体"/>
          <w:color w:val="000000"/>
          <w:kern w:val="0"/>
          <w:sz w:val="32"/>
          <w:szCs w:val="32"/>
        </w:rPr>
      </w:pPr>
      <w:r>
        <w:rPr>
          <w:rFonts w:hint="eastAsia" w:ascii="仿宋" w:hAnsi="仿宋" w:eastAsia="仿宋" w:cs="宋体"/>
          <w:color w:val="000000"/>
          <w:kern w:val="0"/>
          <w:sz w:val="32"/>
          <w:szCs w:val="32"/>
        </w:rPr>
        <w:t>非税收入征收成本项目绩效评价：项目金额20万元，完成目标，达到成效。</w:t>
      </w:r>
    </w:p>
    <w:p>
      <w:pPr>
        <w:widowControl/>
        <w:shd w:val="clear" w:color="auto" w:fill="FFFFFF"/>
        <w:spacing w:line="524" w:lineRule="atLeast"/>
        <w:ind w:firstLine="640" w:firstLineChars="200"/>
        <w:rPr>
          <w:rFonts w:ascii="仿宋" w:hAnsi="仿宋" w:eastAsia="仿宋" w:cs="宋体"/>
          <w:color w:val="000000"/>
          <w:kern w:val="0"/>
          <w:sz w:val="32"/>
          <w:szCs w:val="32"/>
        </w:rPr>
      </w:pPr>
      <w:r>
        <w:rPr>
          <w:rFonts w:hint="eastAsia" w:ascii="仿宋" w:hAnsi="仿宋" w:eastAsia="仿宋" w:cs="宋体"/>
          <w:color w:val="000000"/>
          <w:kern w:val="0"/>
          <w:sz w:val="32"/>
          <w:szCs w:val="32"/>
        </w:rPr>
        <w:t>病虫害防治项目绩效评价：项目金额4万元，完成目标，达到成效。</w:t>
      </w:r>
    </w:p>
    <w:p>
      <w:pPr>
        <w:widowControl/>
        <w:shd w:val="clear" w:color="auto" w:fill="FFFFFF"/>
        <w:spacing w:line="524" w:lineRule="atLeast"/>
        <w:ind w:firstLine="640" w:firstLineChars="200"/>
        <w:rPr>
          <w:rFonts w:ascii="仿宋" w:hAnsi="仿宋" w:eastAsia="仿宋" w:cs="宋体"/>
          <w:color w:val="000000"/>
          <w:kern w:val="0"/>
          <w:sz w:val="32"/>
          <w:szCs w:val="32"/>
        </w:rPr>
      </w:pPr>
      <w:r>
        <w:rPr>
          <w:rFonts w:hint="eastAsia" w:ascii="仿宋" w:hAnsi="仿宋" w:eastAsia="仿宋" w:cs="宋体"/>
          <w:color w:val="000000"/>
          <w:kern w:val="0"/>
          <w:sz w:val="32"/>
          <w:szCs w:val="32"/>
        </w:rPr>
        <w:t>古树名木保护项目绩效评价：项目金额8万元，完成目标，达到成效。</w:t>
      </w:r>
    </w:p>
    <w:p>
      <w:pPr>
        <w:widowControl/>
        <w:shd w:val="clear" w:color="auto" w:fill="FFFFFF"/>
        <w:spacing w:line="524" w:lineRule="atLeast"/>
        <w:ind w:firstLine="640" w:firstLineChars="200"/>
        <w:rPr>
          <w:rFonts w:ascii="仿宋" w:hAnsi="仿宋" w:eastAsia="仿宋" w:cs="宋体"/>
          <w:color w:val="000000"/>
          <w:kern w:val="0"/>
          <w:sz w:val="32"/>
          <w:szCs w:val="32"/>
        </w:rPr>
      </w:pPr>
      <w:r>
        <w:rPr>
          <w:rFonts w:hint="eastAsia" w:ascii="仿宋" w:hAnsi="仿宋" w:eastAsia="仿宋" w:cs="宋体"/>
          <w:color w:val="000000"/>
          <w:kern w:val="0"/>
          <w:sz w:val="32"/>
          <w:szCs w:val="32"/>
        </w:rPr>
        <w:t>野生动植物保护项目绩效评价：项目金额4万元，完成目标，达到成效。</w:t>
      </w:r>
    </w:p>
    <w:p>
      <w:pPr>
        <w:widowControl/>
        <w:shd w:val="clear" w:color="auto" w:fill="FFFFFF"/>
        <w:spacing w:line="524" w:lineRule="atLeast"/>
        <w:ind w:firstLine="640" w:firstLineChars="200"/>
        <w:rPr>
          <w:rFonts w:ascii="仿宋" w:hAnsi="仿宋" w:eastAsia="仿宋" w:cs="宋体"/>
          <w:color w:val="000000"/>
          <w:kern w:val="0"/>
          <w:sz w:val="32"/>
          <w:szCs w:val="32"/>
        </w:rPr>
      </w:pPr>
      <w:r>
        <w:rPr>
          <w:rFonts w:hint="eastAsia" w:ascii="仿宋" w:hAnsi="仿宋" w:eastAsia="仿宋" w:cs="宋体"/>
          <w:color w:val="000000"/>
          <w:kern w:val="0"/>
          <w:sz w:val="32"/>
          <w:szCs w:val="32"/>
        </w:rPr>
        <w:t>森林防火项目绩效评价：项目金额5万元，完成目标，达到成效。</w:t>
      </w:r>
    </w:p>
    <w:p>
      <w:pPr>
        <w:widowControl/>
        <w:shd w:val="clear" w:color="auto" w:fill="FFFFFF"/>
        <w:spacing w:line="524" w:lineRule="atLeast"/>
        <w:ind w:firstLine="640" w:firstLineChars="200"/>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rPr>
        <w:t>龙虎山林场改革项目绩效评价：项目金额178万元，完成目标，达到成效。</w:t>
      </w:r>
    </w:p>
    <w:p>
      <w:pPr>
        <w:widowControl/>
        <w:shd w:val="clear" w:color="auto" w:fill="FFFFFF"/>
        <w:spacing w:line="524" w:lineRule="atLeast"/>
        <w:ind w:firstLine="640" w:firstLineChars="200"/>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rPr>
        <w:t>林长制工作经费项目绩效评价：项目金额20万元，完成目标，达到成效。</w:t>
      </w:r>
    </w:p>
    <w:p>
      <w:pPr>
        <w:widowControl/>
        <w:shd w:val="clear" w:color="auto" w:fill="FFFFFF"/>
        <w:spacing w:line="524" w:lineRule="atLeast"/>
        <w:ind w:firstLine="640" w:firstLineChars="200"/>
        <w:rPr>
          <w:rFonts w:ascii="仿宋" w:hAnsi="仿宋" w:eastAsia="仿宋" w:cs="宋体"/>
          <w:color w:val="000000"/>
          <w:kern w:val="0"/>
          <w:sz w:val="32"/>
          <w:szCs w:val="32"/>
        </w:rPr>
      </w:pPr>
    </w:p>
    <w:p>
      <w:pPr>
        <w:widowControl/>
        <w:shd w:val="clear" w:color="auto" w:fill="FFFFFF"/>
        <w:spacing w:line="600" w:lineRule="atLeast"/>
        <w:jc w:val="center"/>
        <w:rPr>
          <w:rFonts w:ascii="仿宋" w:hAnsi="仿宋" w:eastAsia="仿宋" w:cs="黑体"/>
          <w:b/>
          <w:color w:val="000000"/>
          <w:kern w:val="0"/>
          <w:sz w:val="32"/>
          <w:szCs w:val="32"/>
        </w:rPr>
      </w:pPr>
    </w:p>
    <w:sectPr>
      <w:pgSz w:w="11906" w:h="16838"/>
      <w:pgMar w:top="1134" w:right="1134" w:bottom="1134" w:left="1134"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4130CD5"/>
    <w:multiLevelType w:val="multilevel"/>
    <w:tmpl w:val="34130CD5"/>
    <w:lvl w:ilvl="0" w:tentative="0">
      <w:start w:val="1"/>
      <w:numFmt w:val="decimalEnclosedCircle"/>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5DE9D127"/>
    <w:multiLevelType w:val="singleLevel"/>
    <w:tmpl w:val="5DE9D127"/>
    <w:lvl w:ilvl="0" w:tentative="0">
      <w:start w:val="5"/>
      <w:numFmt w:val="chineseCounting"/>
      <w:suff w:val="nothing"/>
      <w:lvlText w:val="%1、"/>
      <w:lvlJc w:val="left"/>
    </w:lvl>
  </w:abstractNum>
  <w:abstractNum w:abstractNumId="3">
    <w:nsid w:val="5DE9D174"/>
    <w:multiLevelType w:val="singleLevel"/>
    <w:tmpl w:val="5DE9D174"/>
    <w:lvl w:ilvl="0" w:tentative="0">
      <w:start w:val="1"/>
      <w:numFmt w:val="chineseCounting"/>
      <w:suff w:val="nothing"/>
      <w:lvlText w:val="(%1）"/>
      <w:lvlJc w:val="left"/>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jUyZTY3ZjlmYmYwOWYxZjJmZmU1YTI3NDBhN2VlMWMifQ=="/>
  </w:docVars>
  <w:rsids>
    <w:rsidRoot w:val="004506F9"/>
    <w:rsid w:val="0000123B"/>
    <w:rsid w:val="000210AB"/>
    <w:rsid w:val="000213DE"/>
    <w:rsid w:val="0002229B"/>
    <w:rsid w:val="000273BD"/>
    <w:rsid w:val="000415B7"/>
    <w:rsid w:val="00041E3F"/>
    <w:rsid w:val="00055DAA"/>
    <w:rsid w:val="00057AF5"/>
    <w:rsid w:val="00061F7B"/>
    <w:rsid w:val="000658A3"/>
    <w:rsid w:val="00074155"/>
    <w:rsid w:val="00080B52"/>
    <w:rsid w:val="00081716"/>
    <w:rsid w:val="00092072"/>
    <w:rsid w:val="000927D9"/>
    <w:rsid w:val="00095287"/>
    <w:rsid w:val="000A3F69"/>
    <w:rsid w:val="000E7FC8"/>
    <w:rsid w:val="00103957"/>
    <w:rsid w:val="00106018"/>
    <w:rsid w:val="0010727D"/>
    <w:rsid w:val="00115869"/>
    <w:rsid w:val="0012092E"/>
    <w:rsid w:val="00151A22"/>
    <w:rsid w:val="00152C6D"/>
    <w:rsid w:val="00162D39"/>
    <w:rsid w:val="00166E65"/>
    <w:rsid w:val="001678BD"/>
    <w:rsid w:val="001858BB"/>
    <w:rsid w:val="001A67DB"/>
    <w:rsid w:val="001B3F4F"/>
    <w:rsid w:val="001C3C29"/>
    <w:rsid w:val="001C4718"/>
    <w:rsid w:val="001D51E5"/>
    <w:rsid w:val="001E080D"/>
    <w:rsid w:val="001E3F17"/>
    <w:rsid w:val="001E53D0"/>
    <w:rsid w:val="001F0C3B"/>
    <w:rsid w:val="00202C82"/>
    <w:rsid w:val="002035E7"/>
    <w:rsid w:val="00214427"/>
    <w:rsid w:val="00226CB7"/>
    <w:rsid w:val="0023088C"/>
    <w:rsid w:val="00262124"/>
    <w:rsid w:val="00264552"/>
    <w:rsid w:val="00264EF9"/>
    <w:rsid w:val="00265724"/>
    <w:rsid w:val="00266DF3"/>
    <w:rsid w:val="0027426B"/>
    <w:rsid w:val="0028152F"/>
    <w:rsid w:val="00281CCD"/>
    <w:rsid w:val="002E0A30"/>
    <w:rsid w:val="002E5563"/>
    <w:rsid w:val="002E5BEA"/>
    <w:rsid w:val="002F2828"/>
    <w:rsid w:val="00300037"/>
    <w:rsid w:val="003130C4"/>
    <w:rsid w:val="00316C4B"/>
    <w:rsid w:val="0032192B"/>
    <w:rsid w:val="003322AF"/>
    <w:rsid w:val="003479BD"/>
    <w:rsid w:val="0037197D"/>
    <w:rsid w:val="003768D5"/>
    <w:rsid w:val="0038793E"/>
    <w:rsid w:val="003C0965"/>
    <w:rsid w:val="003C47E6"/>
    <w:rsid w:val="003C4955"/>
    <w:rsid w:val="003C4FC2"/>
    <w:rsid w:val="003D3384"/>
    <w:rsid w:val="003E5F82"/>
    <w:rsid w:val="00410665"/>
    <w:rsid w:val="00414B2D"/>
    <w:rsid w:val="00416E61"/>
    <w:rsid w:val="004254E3"/>
    <w:rsid w:val="0042622E"/>
    <w:rsid w:val="0042790C"/>
    <w:rsid w:val="004506F9"/>
    <w:rsid w:val="00451C0C"/>
    <w:rsid w:val="004613CE"/>
    <w:rsid w:val="00462FF0"/>
    <w:rsid w:val="004664F4"/>
    <w:rsid w:val="004717A2"/>
    <w:rsid w:val="00473DF3"/>
    <w:rsid w:val="00483143"/>
    <w:rsid w:val="00487911"/>
    <w:rsid w:val="00491741"/>
    <w:rsid w:val="004C022A"/>
    <w:rsid w:val="004D6DAF"/>
    <w:rsid w:val="004F445A"/>
    <w:rsid w:val="00500E5F"/>
    <w:rsid w:val="00504ACD"/>
    <w:rsid w:val="00510D50"/>
    <w:rsid w:val="005122EF"/>
    <w:rsid w:val="0051441A"/>
    <w:rsid w:val="00517C33"/>
    <w:rsid w:val="00522AB1"/>
    <w:rsid w:val="00523644"/>
    <w:rsid w:val="00534516"/>
    <w:rsid w:val="00534DEA"/>
    <w:rsid w:val="005368C5"/>
    <w:rsid w:val="0054069E"/>
    <w:rsid w:val="00544866"/>
    <w:rsid w:val="0055573E"/>
    <w:rsid w:val="00564C90"/>
    <w:rsid w:val="005735E7"/>
    <w:rsid w:val="005767CC"/>
    <w:rsid w:val="00582563"/>
    <w:rsid w:val="00590D9F"/>
    <w:rsid w:val="00594EF9"/>
    <w:rsid w:val="00595D26"/>
    <w:rsid w:val="005A16C0"/>
    <w:rsid w:val="005A74E6"/>
    <w:rsid w:val="005B404E"/>
    <w:rsid w:val="005D4D55"/>
    <w:rsid w:val="005E2CFB"/>
    <w:rsid w:val="005F2295"/>
    <w:rsid w:val="005F3D1C"/>
    <w:rsid w:val="00612450"/>
    <w:rsid w:val="006146AD"/>
    <w:rsid w:val="006203FD"/>
    <w:rsid w:val="0062378F"/>
    <w:rsid w:val="00640D4E"/>
    <w:rsid w:val="00641842"/>
    <w:rsid w:val="006506B8"/>
    <w:rsid w:val="00650971"/>
    <w:rsid w:val="00651EEC"/>
    <w:rsid w:val="0065471D"/>
    <w:rsid w:val="006636CA"/>
    <w:rsid w:val="00680A98"/>
    <w:rsid w:val="00691E8C"/>
    <w:rsid w:val="006A1FF4"/>
    <w:rsid w:val="006A22C4"/>
    <w:rsid w:val="006A351B"/>
    <w:rsid w:val="006B0422"/>
    <w:rsid w:val="006C1B53"/>
    <w:rsid w:val="006C62F2"/>
    <w:rsid w:val="006D377B"/>
    <w:rsid w:val="006D7730"/>
    <w:rsid w:val="006E0DBC"/>
    <w:rsid w:val="006E5284"/>
    <w:rsid w:val="006F3EB5"/>
    <w:rsid w:val="00700B0A"/>
    <w:rsid w:val="00702E34"/>
    <w:rsid w:val="00704395"/>
    <w:rsid w:val="00714B37"/>
    <w:rsid w:val="00717621"/>
    <w:rsid w:val="00720FF1"/>
    <w:rsid w:val="00727A53"/>
    <w:rsid w:val="007325D3"/>
    <w:rsid w:val="00735086"/>
    <w:rsid w:val="00736BE1"/>
    <w:rsid w:val="00751A7A"/>
    <w:rsid w:val="00775233"/>
    <w:rsid w:val="00784262"/>
    <w:rsid w:val="00787B42"/>
    <w:rsid w:val="0079130E"/>
    <w:rsid w:val="007C24C2"/>
    <w:rsid w:val="007C4539"/>
    <w:rsid w:val="007D42C3"/>
    <w:rsid w:val="007F3657"/>
    <w:rsid w:val="00803E76"/>
    <w:rsid w:val="00812ED5"/>
    <w:rsid w:val="008277D9"/>
    <w:rsid w:val="00831B1B"/>
    <w:rsid w:val="00835655"/>
    <w:rsid w:val="0084478C"/>
    <w:rsid w:val="00863EDF"/>
    <w:rsid w:val="0086638C"/>
    <w:rsid w:val="00874E68"/>
    <w:rsid w:val="008A3E8D"/>
    <w:rsid w:val="008B6974"/>
    <w:rsid w:val="008F6F3F"/>
    <w:rsid w:val="00902DCE"/>
    <w:rsid w:val="00922E40"/>
    <w:rsid w:val="009237C4"/>
    <w:rsid w:val="009423E5"/>
    <w:rsid w:val="00944C48"/>
    <w:rsid w:val="00950252"/>
    <w:rsid w:val="00957F48"/>
    <w:rsid w:val="00967F5D"/>
    <w:rsid w:val="00974758"/>
    <w:rsid w:val="009A0F95"/>
    <w:rsid w:val="009A4945"/>
    <w:rsid w:val="009B3ADF"/>
    <w:rsid w:val="009C3B52"/>
    <w:rsid w:val="009C6DB7"/>
    <w:rsid w:val="009D48C4"/>
    <w:rsid w:val="009E6817"/>
    <w:rsid w:val="009E6E9A"/>
    <w:rsid w:val="00A01D2B"/>
    <w:rsid w:val="00A36E88"/>
    <w:rsid w:val="00A42218"/>
    <w:rsid w:val="00A47778"/>
    <w:rsid w:val="00A5697C"/>
    <w:rsid w:val="00A678CE"/>
    <w:rsid w:val="00A70249"/>
    <w:rsid w:val="00A70B02"/>
    <w:rsid w:val="00A71D9F"/>
    <w:rsid w:val="00A830A5"/>
    <w:rsid w:val="00A92E9F"/>
    <w:rsid w:val="00A96A12"/>
    <w:rsid w:val="00AA1DCC"/>
    <w:rsid w:val="00AA68C7"/>
    <w:rsid w:val="00AD64BD"/>
    <w:rsid w:val="00AE43D0"/>
    <w:rsid w:val="00B10C73"/>
    <w:rsid w:val="00B33BEA"/>
    <w:rsid w:val="00B34D3A"/>
    <w:rsid w:val="00B57C9F"/>
    <w:rsid w:val="00B61EA4"/>
    <w:rsid w:val="00B63572"/>
    <w:rsid w:val="00B845B3"/>
    <w:rsid w:val="00B85D8B"/>
    <w:rsid w:val="00B85F86"/>
    <w:rsid w:val="00B92B13"/>
    <w:rsid w:val="00BB4A40"/>
    <w:rsid w:val="00BD6C3E"/>
    <w:rsid w:val="00BD7E87"/>
    <w:rsid w:val="00BE3674"/>
    <w:rsid w:val="00BE6BF2"/>
    <w:rsid w:val="00BF5C0E"/>
    <w:rsid w:val="00C019EA"/>
    <w:rsid w:val="00C06ED6"/>
    <w:rsid w:val="00C10681"/>
    <w:rsid w:val="00C1402F"/>
    <w:rsid w:val="00C3049A"/>
    <w:rsid w:val="00C31B1E"/>
    <w:rsid w:val="00C77645"/>
    <w:rsid w:val="00C80BDF"/>
    <w:rsid w:val="00C872D9"/>
    <w:rsid w:val="00CB18B3"/>
    <w:rsid w:val="00CB1EC5"/>
    <w:rsid w:val="00CD708B"/>
    <w:rsid w:val="00CE04C3"/>
    <w:rsid w:val="00CE264B"/>
    <w:rsid w:val="00CE32F4"/>
    <w:rsid w:val="00CE76A0"/>
    <w:rsid w:val="00D148C6"/>
    <w:rsid w:val="00D16A17"/>
    <w:rsid w:val="00D17A8A"/>
    <w:rsid w:val="00D30BBF"/>
    <w:rsid w:val="00D365C4"/>
    <w:rsid w:val="00D415BA"/>
    <w:rsid w:val="00D644EE"/>
    <w:rsid w:val="00D84828"/>
    <w:rsid w:val="00D9031B"/>
    <w:rsid w:val="00D9671C"/>
    <w:rsid w:val="00D9676C"/>
    <w:rsid w:val="00DC7564"/>
    <w:rsid w:val="00DD06FF"/>
    <w:rsid w:val="00DD5FE9"/>
    <w:rsid w:val="00DD656B"/>
    <w:rsid w:val="00DE0009"/>
    <w:rsid w:val="00DE0449"/>
    <w:rsid w:val="00E00C7A"/>
    <w:rsid w:val="00E1544E"/>
    <w:rsid w:val="00E35359"/>
    <w:rsid w:val="00E37D6C"/>
    <w:rsid w:val="00E45983"/>
    <w:rsid w:val="00E45EED"/>
    <w:rsid w:val="00E55B68"/>
    <w:rsid w:val="00E55BA1"/>
    <w:rsid w:val="00E67BE6"/>
    <w:rsid w:val="00E8683C"/>
    <w:rsid w:val="00E963ED"/>
    <w:rsid w:val="00EA2B72"/>
    <w:rsid w:val="00EC6248"/>
    <w:rsid w:val="00ED059A"/>
    <w:rsid w:val="00EF325F"/>
    <w:rsid w:val="00EF3ADF"/>
    <w:rsid w:val="00EF6FB0"/>
    <w:rsid w:val="00EF7E18"/>
    <w:rsid w:val="00F20C0D"/>
    <w:rsid w:val="00F473FF"/>
    <w:rsid w:val="00F51AE2"/>
    <w:rsid w:val="00F74360"/>
    <w:rsid w:val="00F86336"/>
    <w:rsid w:val="00F900E5"/>
    <w:rsid w:val="00FA04B4"/>
    <w:rsid w:val="00FB42BB"/>
    <w:rsid w:val="00FB462F"/>
    <w:rsid w:val="00FB6766"/>
    <w:rsid w:val="00FC0828"/>
    <w:rsid w:val="00FE16FA"/>
    <w:rsid w:val="00FE328A"/>
    <w:rsid w:val="00FE6269"/>
    <w:rsid w:val="00FF34AB"/>
    <w:rsid w:val="070A1883"/>
    <w:rsid w:val="07F15316"/>
    <w:rsid w:val="090147B0"/>
    <w:rsid w:val="0CD53D1C"/>
    <w:rsid w:val="3108119E"/>
    <w:rsid w:val="3C0F0E35"/>
    <w:rsid w:val="507D1F30"/>
    <w:rsid w:val="56A73BD4"/>
    <w:rsid w:val="5E902ABF"/>
    <w:rsid w:val="7555663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uiPriority w:val="99"/>
    <w:rPr>
      <w:sz w:val="18"/>
      <w:szCs w:val="18"/>
    </w:rPr>
  </w:style>
  <w:style w:type="paragraph" w:styleId="3">
    <w:name w:val="footer"/>
    <w:basedOn w:val="1"/>
    <w:link w:val="8"/>
    <w:unhideWhenUsed/>
    <w:uiPriority w:val="99"/>
    <w:pPr>
      <w:tabs>
        <w:tab w:val="center" w:pos="4153"/>
        <w:tab w:val="right" w:pos="8306"/>
      </w:tabs>
      <w:snapToGrid w:val="0"/>
      <w:jc w:val="left"/>
    </w:pPr>
    <w:rPr>
      <w:sz w:val="18"/>
      <w:szCs w:val="18"/>
    </w:rPr>
  </w:style>
  <w:style w:type="paragraph" w:styleId="4">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uiPriority w:val="99"/>
    <w:rPr>
      <w:sz w:val="18"/>
      <w:szCs w:val="18"/>
    </w:rPr>
  </w:style>
  <w:style w:type="character" w:customStyle="1" w:styleId="8">
    <w:name w:val="页脚 Char"/>
    <w:basedOn w:val="6"/>
    <w:link w:val="3"/>
    <w:uiPriority w:val="99"/>
    <w:rPr>
      <w:sz w:val="18"/>
      <w:szCs w:val="18"/>
    </w:rPr>
  </w:style>
  <w:style w:type="paragraph" w:customStyle="1" w:styleId="9">
    <w:name w:val="Defaul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0">
    <w:name w:val="List Paragraph"/>
    <w:basedOn w:val="1"/>
    <w:qFormat/>
    <w:uiPriority w:val="34"/>
    <w:pPr>
      <w:ind w:firstLine="420" w:firstLineChars="200"/>
    </w:pPr>
  </w:style>
  <w:style w:type="character" w:customStyle="1" w:styleId="11">
    <w:name w:val="批注框文本 Char"/>
    <w:basedOn w:val="6"/>
    <w:link w:val="2"/>
    <w:semiHidden/>
    <w:uiPriority w:val="99"/>
    <w:rPr>
      <w:sz w:val="18"/>
      <w:szCs w:val="18"/>
    </w:rPr>
  </w:style>
  <w:style w:type="paragraph" w:customStyle="1" w:styleId="12">
    <w:name w:val="p0"/>
    <w:basedOn w:val="1"/>
    <w:uiPriority w:val="0"/>
    <w:pPr>
      <w:widowControl/>
    </w:pPr>
    <w:rPr>
      <w:rFonts w:ascii="Times New Roman" w:hAnsi="Times New Roman" w:eastAsia="宋体" w:cs="Times New Roman"/>
      <w:kern w:val="0"/>
      <w:sz w:val="30"/>
      <w:szCs w:val="3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33E4B5-E370-4E20-8494-9A4076D365E2}">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22</Pages>
  <Words>8305</Words>
  <Characters>9119</Characters>
  <Lines>67</Lines>
  <Paragraphs>18</Paragraphs>
  <TotalTime>0</TotalTime>
  <ScaleCrop>false</ScaleCrop>
  <LinksUpToDate>false</LinksUpToDate>
  <CharactersWithSpaces>9150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2021-08-03T01:03:00Z</dcterms:created>
  <dc:creator>李航 null</dc:creator>
  <cp:lastModifiedBy>Administrator</cp:lastModifiedBy>
  <cp:lastPrinted>2022-09-13T08:50:00Z</cp:lastPrinted>
  <dcterms:modified xsi:type="dcterms:W3CDTF">2023-08-27T02:02:24Z</dcterms:modified>
  <cp:revision>117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8ABF5E245D224B9AA63D2B8013E6BA51_12</vt:lpwstr>
  </property>
</Properties>
</file>