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沅江市交通运输局</w:t>
      </w:r>
      <w:r>
        <w:rPr>
          <w:rFonts w:hint="eastAsia" w:ascii="方正小标宋_GBK" w:hAnsi="方正小标宋_GBK" w:eastAsia="方正小标宋_GBK" w:cs="方正小标宋_GBK"/>
          <w:sz w:val="84"/>
          <w:szCs w:val="84"/>
        </w:rPr>
        <w:t>部门决算</w:t>
      </w:r>
    </w:p>
    <w:p>
      <w:pPr>
        <w:pStyle w:val="10"/>
        <w:jc w:val="center"/>
        <w:rPr>
          <w:rFonts w:hint="eastAsia" w:ascii="方正小标宋_GBK" w:hAnsi="方正小标宋_GBK" w:eastAsia="方正小标宋_GBK" w:cs="方正小标宋_GBK"/>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both"/>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hAnsi="黑体" w:cs="黑体"/>
          <w:b w:val="0"/>
          <w:bCs/>
          <w:sz w:val="28"/>
          <w:szCs w:val="28"/>
          <w:lang w:val="en-US" w:eastAsia="zh-CN"/>
        </w:rPr>
        <w:t xml:space="preserve"> 沅江市交通运输局</w:t>
      </w:r>
      <w:r>
        <w:rPr>
          <w:rFonts w:hint="eastAsia" w:ascii="黑体" w:hAnsi="黑体" w:eastAsia="黑体" w:cs="黑体"/>
          <w:b w:val="0"/>
          <w:bCs/>
          <w:sz w:val="28"/>
          <w:szCs w:val="28"/>
        </w:rPr>
        <w:t>概况</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沅江市交通运输局</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1"/>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（一）贯彻执行国家、省市交通运输法律、法规和政策；参与起草交通运输地方性法规、制度；拟定全市交通运输行业管理规范性文件。</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（二）根据权限负责全市交通运输行业行政许可、行政处罚、行政强制、行政检查和实施其他行政权力；委托授权相关单位实施行政处罚、行政强制、行政检查和其他行政权力；负责全市交通行政执法检查监督。</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三）组织拟订全市综合交通运输发展规划，指导协调执行交通运输规划，组织编制全市公路、水路等交通基础设施发展年度计划并监督实施；参与拟订和实施全市物流业发展战略和规划，拟定有关物流发展的政策和标准并监督实施；负责交通运输行业统计工作。</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四）负责全市交通基础设施建设和质量安全监管，负责监督执行交通基础设施建设与维护的技术规范和标准，维护交通建设市秩序，负责交通工程造价、工程质量、安全生产的监督管理；组织指导全市交通设施的维护；承担全市公路、水路等交通基本建设项目的绩效监督和管理。</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五）负责全市道路运输市场管理。负责机动车维护和营运车辆检测等行业管理；负责道路运输行业从业人员技术培训和定级管理；监督执行交通运输政策、技术规范和技术标准，优化交通运输行业结构；组织指导全市城乡客货运输；组织协调国家重点物质和应急客货运输，维护交通运输市场秩序。</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六）负责全市水路运输市场管理。负责辖区内水上交通企业、营运船舶的审批管理；负责组织协调水上重点物资、防汛抢险的船舶调运工作；负责水运综合统计和统计信息系统的管理工作；负责水上交通运输安全监督管理。</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（七）负责全市公路、水路等交通设施投资管理。负责提出交通固定资产规模、方向和财政性资金安排的建议；按市政府规定权限审批，核准交通固定资产投资项目；负责交通运输预算内资金的申请和拨付。</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（八）组织指导局所属单位职工培训、人才交流和劳资工作；负责所属单位干部管理。</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（九）拟定地方性交通运输行业科技政策和规划、组织重大科技开发、推动行业技术进步、推进交通运输信息化建设、指导行业内环境保护和节能减排工作。</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（十）组织协调全市地方交通战备工作，指导开展对外交流合作。</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（十一）承办市委、市人民政府和上级业务主管部门交办的其他事项。</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eastAsia="zh-CN"/>
        </w:rPr>
        <w:t>2022年本单位由沅江市道路运输服务中心，沅江市交通建设质量安全监督站，沅江市交通运输综合行政执法大队，沅江市交通运输指挥信息中心，沅江市车辆超限超载竹莲检测站，沅江市水运事务中心组成。</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eastAsia="zh-CN"/>
        </w:rPr>
        <w:t>沅江市交通运输局</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eastAsia="zh-CN"/>
        </w:rPr>
        <w:t>沅江市交通运输局</w:t>
      </w:r>
      <w:r>
        <w:rPr>
          <w:rFonts w:hint="eastAsia" w:ascii="Times New Roman" w:hAnsi="Times New Roman" w:eastAsia="仿宋_GB2312" w:cs="仿宋_GB2312"/>
          <w:bCs/>
          <w:kern w:val="0"/>
          <w:sz w:val="32"/>
          <w:szCs w:val="32"/>
        </w:rPr>
        <w:t>单位本级</w:t>
      </w:r>
      <w:r>
        <w:rPr>
          <w:rFonts w:hint="eastAsia" w:ascii="Times New Roman" w:hAnsi="Times New Roman" w:eastAsia="仿宋_GB2312" w:cs="仿宋_GB2312"/>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5428" w:type="dxa"/>
        <w:tblInd w:w="0" w:type="dxa"/>
        <w:tblLayout w:type="fixed"/>
        <w:tblCellMar>
          <w:top w:w="0" w:type="dxa"/>
          <w:left w:w="0" w:type="dxa"/>
          <w:bottom w:w="0" w:type="dxa"/>
          <w:right w:w="0" w:type="dxa"/>
        </w:tblCellMar>
      </w:tblPr>
      <w:tblGrid>
        <w:gridCol w:w="273"/>
        <w:gridCol w:w="570"/>
        <w:gridCol w:w="3846"/>
        <w:gridCol w:w="1482"/>
        <w:gridCol w:w="1592"/>
        <w:gridCol w:w="1463"/>
        <w:gridCol w:w="1482"/>
        <w:gridCol w:w="1343"/>
        <w:gridCol w:w="1703"/>
        <w:gridCol w:w="1674"/>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6"/>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95"/>
              <w:gridCol w:w="685"/>
              <w:gridCol w:w="1225"/>
              <w:gridCol w:w="4752"/>
              <w:gridCol w:w="686"/>
              <w:gridCol w:w="1392"/>
              <w:gridCol w:w="690"/>
              <w:gridCol w:w="1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95"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685"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225"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078"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463"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95"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685"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25"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078"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463"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95"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685"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25"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078"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463"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610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20"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62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32562.54</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9681.00</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2197.12</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19086.00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13734.50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11375.12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44440.66</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44440.66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62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44440.66</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44440.66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lang w:val="en-US" w:eastAsia="zh-CN"/>
                    </w:rPr>
                  </w:pPr>
                  <w:r>
                    <w:rPr>
                      <w:rFonts w:hint="eastAsia"/>
                      <w:lang w:val="en-US" w:eastAsia="zh-CN"/>
                    </w:rPr>
                    <w:t>注：1.本表反映部门本年度的总收支和年末结转结余情况。</w:t>
                  </w:r>
                  <w:r>
                    <w:rPr>
                      <w:rFonts w:hint="eastAsia"/>
                      <w:lang w:val="en-US" w:eastAsia="zh-CN"/>
                    </w:rPr>
                    <w:br w:type="textWrapping"/>
                  </w:r>
                  <w:r>
                    <w:rPr>
                      <w:rFonts w:hint="eastAsia"/>
                      <w:lang w:val="en-US" w:eastAsia="zh-CN"/>
                    </w:rPr>
                    <w:br w:type="textWrapping"/>
                  </w:r>
                  <w:r>
                    <w:rPr>
                      <w:rFonts w:hint="eastAsia"/>
                      <w:lang w:val="en-US" w:eastAsia="zh-CN"/>
                    </w:rPr>
                    <w:t xml:space="preserve">    2.本套报表金额单位转换时可能存在尾数误差。</w:t>
                  </w: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rPr>
                  </w:pP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27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5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84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84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color w:val="000000"/>
                <w:sz w:val="20"/>
                <w:szCs w:val="20"/>
                <w:lang w:eastAsia="zh-CN"/>
              </w:rPr>
            </w:pPr>
            <w:r>
              <w:rPr>
                <w:rFonts w:hint="eastAsia"/>
                <w:color w:val="000000"/>
                <w:sz w:val="20"/>
                <w:szCs w:val="20"/>
              </w:rPr>
              <w:t>部门：</w:t>
            </w:r>
          </w:p>
        </w:tc>
        <w:tc>
          <w:tcPr>
            <w:tcW w:w="3846"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lang w:eastAsia="zh-CN"/>
              </w:rPr>
              <w:t>沅江市交通运输局</w:t>
            </w:r>
            <w:r>
              <w:rPr>
                <w:rFonts w:hint="eastAsia"/>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3"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68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48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59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6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8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4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70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84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846"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48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9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4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846"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9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46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48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5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4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8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34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70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6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46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合计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44,440.66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42,243.54</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2,197.12</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2010305</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专项业务及机关事务管理</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206</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科学技术支出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20699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其他科学技术支出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2069999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10.80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10.80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29.18</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29.18</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20807</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就业补助</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3.66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3.66</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2080799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其他就业补助支出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3.66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3.66</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抚恤</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25.52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25.52</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13.90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13.90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其他优抚支出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11.62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11.62</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21208</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2120803</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城市建设支出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农林水支出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19,086.00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19,086.00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农业农村</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18,378.00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18,378.00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18,378.00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18,378.00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21305</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708.00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708.00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2130599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708.00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708.00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交通运输支出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13,734.50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13,232.50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502.00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公路水路运输</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11,239.98</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11,237.98</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2,379.96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2,379.96</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2140102</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1,341.80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1,339.80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2140103</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744.22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744.22</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2140104</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6,629.00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6,629.00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其他公路水路运输支出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145.00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145.00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21406</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车辆购置税支出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2140601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车辆购置税用于公路等基础设施建设支出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2140699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车辆购置税其他支出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其他交通运输支出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2,124.52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1,624.52</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2149901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公共交通运营补助</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1,350.52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1,350.52</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2149999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其他交通运输支出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774.00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274.00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住房保障支出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住房改革支出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应急管理事务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2240199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11,375.12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9,680.00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1,695.12</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22904</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其他政府性基金及对应专项债务收入安排的支出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9,680.00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9,680.00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2290401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其他政府性基金安排的支出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9,680.00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9,680.00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1,695.12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1,695.12</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2299999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1,695.12</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1,695.12</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6"/>
        <w:tblpPr w:leftFromText="180" w:rightFromText="180" w:vertAnchor="text" w:horzAnchor="page" w:tblpX="399" w:tblpY="556"/>
        <w:tblOverlap w:val="never"/>
        <w:tblW w:w="16031" w:type="dxa"/>
        <w:tblInd w:w="0" w:type="dxa"/>
        <w:tblLayout w:type="fixed"/>
        <w:tblCellMar>
          <w:top w:w="0" w:type="dxa"/>
          <w:left w:w="108" w:type="dxa"/>
          <w:bottom w:w="0" w:type="dxa"/>
          <w:right w:w="108" w:type="dxa"/>
        </w:tblCellMar>
      </w:tblPr>
      <w:tblGrid>
        <w:gridCol w:w="986"/>
        <w:gridCol w:w="1169"/>
        <w:gridCol w:w="240"/>
        <w:gridCol w:w="2298"/>
        <w:gridCol w:w="1767"/>
        <w:gridCol w:w="1887"/>
        <w:gridCol w:w="1812"/>
        <w:gridCol w:w="1924"/>
        <w:gridCol w:w="1868"/>
        <w:gridCol w:w="2080"/>
      </w:tblGrid>
      <w:tr>
        <w:tblPrEx>
          <w:tblCellMar>
            <w:top w:w="0" w:type="dxa"/>
            <w:left w:w="108" w:type="dxa"/>
            <w:bottom w:w="0" w:type="dxa"/>
            <w:right w:w="108" w:type="dxa"/>
          </w:tblCellMar>
        </w:tblPrEx>
        <w:trPr>
          <w:trHeight w:val="807" w:hRule="atLeast"/>
        </w:trPr>
        <w:tc>
          <w:tcPr>
            <w:tcW w:w="1603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215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2155" w:type="dxa"/>
            <w:gridSpan w:val="2"/>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沅江市交通运输局</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2"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4693"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8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2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6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0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239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29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239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29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4693"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6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6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0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4693"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合计</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44,440.66</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2,581.32</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41,859.34</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2010305</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专项业务及机关事务管理</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科学技术支出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其他科学技术支出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2069999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29.18</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29.18</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20807</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就业补助</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3.66</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3.66</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2080799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其他就业补助支出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3.66</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3.66</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抚恤</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25.52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25.52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13.90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13.90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其他优抚支出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21208</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2120803</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城市建设支出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19,086.00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19,086.00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农业农村</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18,378.00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18,378.00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18,378.00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18,378.00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708.00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708.00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708.00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708.00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交通运输支出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13,734.50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2,379.96</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11,354.54</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公路水路运输</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11,239.98</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2,379.96</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8,860.02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2,379.96</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2,379.96</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2140102</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1,341.80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1,341.80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2140103</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744.22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744.22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2140104</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6,629.00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6,629.00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其他公路水路运输支出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145.00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145.00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21406</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车辆购置税支出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370.00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2140601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车辆购置税用于公路等基础设施建设支出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2140699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车辆购置税其他支出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其他交通运输支出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2,124.52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2,124.52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2149901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公共交通运营补助</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1,350.52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1,350.52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2149999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其他交通运输支出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774.00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774.00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应急管理事务</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11,375.12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11,375.12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22904</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其他政府性基金及对应专项债务收入安排的支出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9,680.00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9,680.00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2290401</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其他政府性基金安排的支出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9,680.00</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9,680.00</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1,695.12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1,695.12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9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2299999</w:t>
            </w:r>
          </w:p>
        </w:tc>
        <w:tc>
          <w:tcPr>
            <w:tcW w:w="370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7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1,695.12</w:t>
            </w:r>
          </w:p>
        </w:tc>
        <w:tc>
          <w:tcPr>
            <w:tcW w:w="18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1,695.12</w:t>
            </w:r>
          </w:p>
        </w:tc>
        <w:tc>
          <w:tcPr>
            <w:tcW w:w="19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828" w:hRule="atLeast"/>
        </w:trPr>
        <w:tc>
          <w:tcPr>
            <w:tcW w:w="1603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3"/>
        <w:rPr>
          <w:rFonts w:ascii="Times New Roman" w:hAnsi="Times New Roman" w:eastAsia="方正小标宋_GBK" w:cs="Times New Roman"/>
          <w:color w:val="000000"/>
          <w:kern w:val="0"/>
          <w:sz w:val="36"/>
          <w:szCs w:val="36"/>
        </w:rPr>
      </w:pPr>
    </w:p>
    <w:p>
      <w:pPr>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3"/>
        <w:rPr>
          <w:rFonts w:ascii="Times New Roman" w:hAnsi="Times New Roman" w:eastAsia="方正小标宋_GBK" w:cs="Times New Roman"/>
          <w:color w:val="000000"/>
          <w:kern w:val="0"/>
          <w:sz w:val="36"/>
          <w:szCs w:val="36"/>
        </w:rPr>
      </w:pPr>
    </w:p>
    <w:p>
      <w:pPr>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3"/>
        <w:rPr>
          <w:rFonts w:ascii="Times New Roman" w:hAnsi="Times New Roman" w:eastAsia="方正小标宋_GBK" w:cs="Times New Roman"/>
          <w:color w:val="000000"/>
          <w:kern w:val="0"/>
          <w:sz w:val="36"/>
          <w:szCs w:val="36"/>
        </w:rPr>
      </w:pPr>
    </w:p>
    <w:p>
      <w:pPr>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3"/>
        <w:rPr>
          <w:rFonts w:ascii="Times New Roman" w:hAnsi="Times New Roman" w:eastAsia="方正小标宋_GBK" w:cs="Times New Roman"/>
          <w:color w:val="000000"/>
          <w:kern w:val="0"/>
          <w:sz w:val="36"/>
          <w:szCs w:val="36"/>
        </w:rPr>
      </w:pPr>
    </w:p>
    <w:p>
      <w:pPr>
        <w:rPr>
          <w:rFonts w:ascii="Times New Roman" w:hAnsi="Times New Roman" w:eastAsia="方正小标宋_GBK" w:cs="Times New Roman"/>
          <w:color w:val="000000"/>
          <w:kern w:val="0"/>
          <w:sz w:val="36"/>
          <w:szCs w:val="36"/>
        </w:rPr>
      </w:pPr>
    </w:p>
    <w:p>
      <w:pPr>
        <w:pStyle w:val="2"/>
      </w:pPr>
    </w:p>
    <w:p>
      <w:pPr>
        <w:widowControl/>
        <w:jc w:val="both"/>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64"/>
        <w:gridCol w:w="604"/>
        <w:gridCol w:w="1215"/>
        <w:gridCol w:w="303"/>
        <w:gridCol w:w="2889"/>
        <w:gridCol w:w="626"/>
        <w:gridCol w:w="433"/>
        <w:gridCol w:w="1560"/>
        <w:gridCol w:w="1383"/>
        <w:gridCol w:w="1383"/>
        <w:gridCol w:w="1561"/>
      </w:tblGrid>
      <w:tr>
        <w:tblPrEx>
          <w:tblCellMar>
            <w:top w:w="0" w:type="dxa"/>
            <w:left w:w="108" w:type="dxa"/>
            <w:bottom w:w="0" w:type="dxa"/>
            <w:right w:w="108" w:type="dxa"/>
          </w:tblCellMar>
        </w:tblPrEx>
        <w:trPr>
          <w:trHeight w:val="285" w:hRule="atLeast"/>
        </w:trPr>
        <w:tc>
          <w:tcPr>
            <w:tcW w:w="3564"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60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18"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15"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6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6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6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0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8"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64"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沅江市交通运输局</w:t>
            </w:r>
          </w:p>
        </w:tc>
        <w:tc>
          <w:tcPr>
            <w:tcW w:w="60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8"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38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38"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5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5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6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32,562.54</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0.30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0.30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9,681.00</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10.80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10.80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29.18</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29.18</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十、节能环保支出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十二、农林水支出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19,086.00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19,086.00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十三、交通运输支出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13,232.50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13,232.50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十六、金融支出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十九、住房保障支出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201.36</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201.36</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二十三、其他支出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9,680.00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9,680.00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21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42,243.54</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42,243.54</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32,562.54</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9,681.00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61</w:t>
            </w:r>
          </w:p>
        </w:tc>
        <w:tc>
          <w:tcPr>
            <w:tcW w:w="15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62</w:t>
            </w:r>
          </w:p>
        </w:tc>
        <w:tc>
          <w:tcPr>
            <w:tcW w:w="15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6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63</w:t>
            </w:r>
          </w:p>
        </w:tc>
        <w:tc>
          <w:tcPr>
            <w:tcW w:w="15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6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42,243.54</w:t>
            </w:r>
          </w:p>
        </w:tc>
        <w:tc>
          <w:tcPr>
            <w:tcW w:w="31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59"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64</w:t>
            </w:r>
          </w:p>
        </w:tc>
        <w:tc>
          <w:tcPr>
            <w:tcW w:w="156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42,243.54</w:t>
            </w:r>
          </w:p>
        </w:tc>
        <w:tc>
          <w:tcPr>
            <w:tcW w:w="13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32,562.54</w:t>
            </w:r>
          </w:p>
        </w:tc>
        <w:tc>
          <w:tcPr>
            <w:tcW w:w="1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9,681.00</w:t>
            </w:r>
          </w:p>
        </w:tc>
        <w:tc>
          <w:tcPr>
            <w:tcW w:w="15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pStyle w:val="2"/>
        <w:rPr>
          <w:rFonts w:ascii="Times New Roman" w:hAnsi="Times New Roman" w:eastAsia="方正小标宋_GBK" w:cs="Times New Roman"/>
          <w:kern w:val="0"/>
          <w:sz w:val="36"/>
          <w:szCs w:val="36"/>
        </w:rPr>
      </w:pPr>
    </w:p>
    <w:p>
      <w:pPr>
        <w:pStyle w:val="3"/>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2"/>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沅江市交通运输局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986"/>
        <w:gridCol w:w="976"/>
        <w:gridCol w:w="3284"/>
        <w:gridCol w:w="2844"/>
        <w:gridCol w:w="3284"/>
        <w:gridCol w:w="2845"/>
      </w:tblGrid>
      <w:tr>
        <w:tblPrEx>
          <w:tblCellMar>
            <w:top w:w="0" w:type="dxa"/>
            <w:left w:w="108" w:type="dxa"/>
            <w:bottom w:w="0" w:type="dxa"/>
            <w:right w:w="108" w:type="dxa"/>
          </w:tblCellMar>
        </w:tblPrEx>
        <w:trPr>
          <w:trHeight w:val="405" w:hRule="atLeast"/>
          <w:jc w:val="center"/>
        </w:trPr>
        <w:tc>
          <w:tcPr>
            <w:tcW w:w="4727" w:type="dxa"/>
            <w:gridSpan w:val="3"/>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32,562.54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2,581.32</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29,981.22</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4583"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w:t>
            </w:r>
          </w:p>
        </w:tc>
        <w:tc>
          <w:tcPr>
            <w:tcW w:w="4583"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2010305</w:t>
            </w:r>
          </w:p>
        </w:tc>
        <w:tc>
          <w:tcPr>
            <w:tcW w:w="4583"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专项业务及机关事务管理</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w:t>
            </w:r>
          </w:p>
        </w:tc>
        <w:tc>
          <w:tcPr>
            <w:tcW w:w="4583"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科学技术支出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20699</w:t>
            </w:r>
          </w:p>
        </w:tc>
        <w:tc>
          <w:tcPr>
            <w:tcW w:w="4583"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其他科学技术支出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2069999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29.18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29.18</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20807</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就业补助</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3.66</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2080799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其他就业补助支出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3.66</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25.52</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25.52</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13.90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13.90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其他优抚支出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11.62</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11.62</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19,086.00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19,086.00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18,378.00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18,378.00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18,378.00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18,378.00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21305</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708.00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708.00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2130599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708.00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708.00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交通运输支出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13,232.50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2,379.96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10,852.54</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公路水路运输</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11,237.98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2,379.96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8,858.02</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2,379.96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2,379.96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2140102</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1,339.80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1,339.80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2140103</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744.22</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744.22</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2140104</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6,629.00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6,629.00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其他公路水路运输支出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145.00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145.00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21406</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车辆购置税支出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370.00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2140601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车辆购置税用于公路等基础设施建设支出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2140699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车辆购置税其他支出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其他交通运输支出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1,624.52</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1,624.52</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2149901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公共交通运营补助</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1,350.52</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1,350.52</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2149999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其他交通运输支出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274.00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274.00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22401</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应急管理事务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2.40</w:t>
            </w:r>
          </w:p>
        </w:tc>
      </w:tr>
      <w:tr>
        <w:tblPrEx>
          <w:tblCellMar>
            <w:top w:w="0" w:type="dxa"/>
            <w:left w:w="108" w:type="dxa"/>
            <w:bottom w:w="0" w:type="dxa"/>
            <w:right w:w="108" w:type="dxa"/>
          </w:tblCellMar>
        </w:tblPrEx>
        <w:trPr>
          <w:trHeight w:val="450" w:hRule="atLeast"/>
          <w:jc w:val="center"/>
        </w:trPr>
        <w:tc>
          <w:tcPr>
            <w:tcW w:w="144"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2240199</w:t>
            </w:r>
          </w:p>
        </w:tc>
        <w:tc>
          <w:tcPr>
            <w:tcW w:w="4583"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2.40</w:t>
            </w:r>
          </w:p>
        </w:tc>
      </w:tr>
      <w:tr>
        <w:tblPrEx>
          <w:tblCellMar>
            <w:top w:w="0" w:type="dxa"/>
            <w:left w:w="108" w:type="dxa"/>
            <w:bottom w:w="0" w:type="dxa"/>
            <w:right w:w="108" w:type="dxa"/>
          </w:tblCellMar>
        </w:tblPrEx>
        <w:trPr>
          <w:trHeight w:val="645" w:hRule="atLeast"/>
          <w:jc w:val="center"/>
        </w:trPr>
        <w:tc>
          <w:tcPr>
            <w:tcW w:w="14219" w:type="dxa"/>
            <w:gridSpan w:val="6"/>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1022"/>
        <w:gridCol w:w="620"/>
        <w:gridCol w:w="240"/>
        <w:gridCol w:w="79"/>
        <w:gridCol w:w="1564"/>
        <w:gridCol w:w="1459"/>
        <w:gridCol w:w="538"/>
        <w:gridCol w:w="457"/>
        <w:gridCol w:w="1105"/>
        <w:gridCol w:w="277"/>
        <w:gridCol w:w="1795"/>
        <w:gridCol w:w="141"/>
        <w:gridCol w:w="659"/>
        <w:gridCol w:w="1106"/>
        <w:gridCol w:w="319"/>
        <w:gridCol w:w="1898"/>
        <w:gridCol w:w="1534"/>
        <w:gridCol w:w="488"/>
        <w:gridCol w:w="313"/>
      </w:tblGrid>
      <w:tr>
        <w:tblPrEx>
          <w:tblCellMar>
            <w:top w:w="0" w:type="dxa"/>
            <w:left w:w="108" w:type="dxa"/>
            <w:bottom w:w="0" w:type="dxa"/>
            <w:right w:w="108" w:type="dxa"/>
          </w:tblCellMar>
        </w:tblPrEx>
        <w:trPr>
          <w:trHeight w:val="113" w:hRule="atLeast"/>
        </w:trPr>
        <w:tc>
          <w:tcPr>
            <w:tcW w:w="15614" w:type="dxa"/>
            <w:gridSpan w:val="1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沅江市交通运输局</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9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2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7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0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75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0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2,362.59</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218.73</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1,493.47</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43.25</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28.59</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9.28</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0.66</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333.03</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0.94</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146.65</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2.50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188.08</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21.57</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201.36</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3.08</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1.67</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9.56</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6.16</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9.39</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64.26</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11.21</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3.87</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0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2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1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07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2.55</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51"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0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984"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9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2,362.59</w:t>
            </w:r>
          </w:p>
        </w:tc>
        <w:tc>
          <w:tcPr>
            <w:tcW w:w="8834"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218.73</w:t>
            </w:r>
          </w:p>
        </w:tc>
      </w:tr>
      <w:tr>
        <w:tblPrEx>
          <w:tblCellMar>
            <w:top w:w="0" w:type="dxa"/>
            <w:left w:w="108" w:type="dxa"/>
            <w:bottom w:w="0" w:type="dxa"/>
            <w:right w:w="108" w:type="dxa"/>
          </w:tblCellMar>
        </w:tblPrEx>
        <w:trPr>
          <w:trHeight w:val="284" w:hRule="exact"/>
        </w:trPr>
        <w:tc>
          <w:tcPr>
            <w:tcW w:w="15614" w:type="dxa"/>
            <w:gridSpan w:val="1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690" w:hRule="atLeast"/>
        </w:trPr>
        <w:tc>
          <w:tcPr>
            <w:tcW w:w="15301" w:type="dxa"/>
            <w:gridSpan w:val="1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345" w:hRule="atLeast"/>
        </w:trPr>
        <w:tc>
          <w:tcPr>
            <w:tcW w:w="164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643"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9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83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36"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8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898"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2"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690" w:hRule="atLeast"/>
        </w:trPr>
        <w:tc>
          <w:tcPr>
            <w:tcW w:w="1642" w:type="dxa"/>
            <w:gridSpan w:val="2"/>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24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643"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9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83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36"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8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898"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2"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459" w:hRule="atLeast"/>
        </w:trPr>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3"/>
                <w:lang w:val="en-US" w:eastAsia="zh-CN" w:bidi="ar"/>
              </w:rPr>
              <w:t xml:space="preserve">   </w:t>
            </w:r>
            <w:r>
              <w:rPr>
                <w:rStyle w:val="14"/>
                <w:lang w:val="en-US" w:eastAsia="zh-CN" w:bidi="ar"/>
              </w:rPr>
              <w:t>目</w:t>
            </w:r>
          </w:p>
        </w:tc>
        <w:tc>
          <w:tcPr>
            <w:tcW w:w="19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83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591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0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609" w:hRule="atLeast"/>
        </w:trPr>
        <w:tc>
          <w:tcPr>
            <w:tcW w:w="188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6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08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8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0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409" w:hRule="atLeast"/>
        </w:trPr>
        <w:tc>
          <w:tcPr>
            <w:tcW w:w="18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8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合计</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9,681.00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9,681.00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9,681.00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212</w:t>
            </w:r>
          </w:p>
        </w:tc>
        <w:tc>
          <w:tcPr>
            <w:tcW w:w="25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21208</w:t>
            </w:r>
          </w:p>
        </w:tc>
        <w:tc>
          <w:tcPr>
            <w:tcW w:w="25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2120803</w:t>
            </w:r>
          </w:p>
        </w:tc>
        <w:tc>
          <w:tcPr>
            <w:tcW w:w="25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  城市建设支出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25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其他支出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22904</w:t>
            </w:r>
          </w:p>
        </w:tc>
        <w:tc>
          <w:tcPr>
            <w:tcW w:w="25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其他政府性基金及对应专项债务收入安排的支出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2290401</w:t>
            </w:r>
          </w:p>
        </w:tc>
        <w:tc>
          <w:tcPr>
            <w:tcW w:w="25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 xml:space="preserve">  其他政府性基金安排的支出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9,680.00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725" w:hRule="atLeast"/>
        </w:trPr>
        <w:tc>
          <w:tcPr>
            <w:tcW w:w="15301" w:type="dxa"/>
            <w:gridSpan w:val="1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6"/>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653"/>
        <w:gridCol w:w="2110"/>
        <w:gridCol w:w="3031"/>
        <w:gridCol w:w="3031"/>
        <w:gridCol w:w="38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241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653"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1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653"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1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5"/>
                <w:lang w:val="en-US" w:eastAsia="zh-CN" w:bidi="ar"/>
              </w:rPr>
              <w:t>目</w:t>
            </w:r>
          </w:p>
        </w:tc>
        <w:tc>
          <w:tcPr>
            <w:tcW w:w="99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0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0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3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6"/>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1174"/>
        <w:gridCol w:w="1149"/>
        <w:gridCol w:w="1124"/>
        <w:gridCol w:w="1149"/>
        <w:gridCol w:w="1124"/>
        <w:gridCol w:w="1149"/>
        <w:gridCol w:w="1174"/>
        <w:gridCol w:w="1149"/>
        <w:gridCol w:w="1124"/>
        <w:gridCol w:w="1149"/>
        <w:gridCol w:w="12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0"/>
        <w:jc w:val="center"/>
        <w:rPr>
          <w:rFonts w:hint="eastAsia" w:ascii="方正小标宋_GBK" w:hAnsi="方正小标宋_GBK" w:eastAsia="方正小标宋_GBK" w:cs="方正小标宋_GBK"/>
          <w:sz w:val="70"/>
          <w:szCs w:val="70"/>
        </w:rPr>
      </w:pPr>
    </w:p>
    <w:p>
      <w:pPr>
        <w:pStyle w:val="10"/>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88881.32</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59404.88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201.53</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项目支出增加。</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44440.66</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42243.54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95.06</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2197.12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4.94</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44440.66</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2581.32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5.81</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41859.34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94.19</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0"/>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84487.08</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64290.26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318.32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项目增加。</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42243.54</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95.06</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32145.13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318.32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项目支出增加。</w:t>
      </w:r>
    </w:p>
    <w:p>
      <w:pPr>
        <w:pStyle w:val="10"/>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42243.54</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0.3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0.0007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科学技术</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10.8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0.03</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29.18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城乡社区</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农林水</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19086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45.18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交通运输</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13232.5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31.32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住房保障</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201.36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0.48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灾害防治及应急管理</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2.4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0.006</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其他</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9680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22.91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3579.97</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32562.54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909.58</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1、一般公共服务支出（类）</w:t>
      </w:r>
      <w:r>
        <w:rPr>
          <w:rFonts w:hint="eastAsia" w:ascii="Times New Roman" w:hAnsi="Times New Roman" w:eastAsia="仿宋_GB2312"/>
          <w:sz w:val="32"/>
          <w:szCs w:val="32"/>
          <w:lang w:eastAsia="zh-CN"/>
        </w:rPr>
        <w:t>政府办公厅（室）及相关机构事务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专项业务及机关事务管理</w:t>
      </w:r>
      <w:r>
        <w:rPr>
          <w:rFonts w:hint="eastAsia" w:ascii="Times New Roman" w:hAnsi="Times New Roman" w:eastAsia="仿宋_GB2312"/>
          <w:sz w:val="32"/>
          <w:szCs w:val="32"/>
        </w:rPr>
        <w:t>（项）。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提案交办会表彰奖励。</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2、科学技术支出（类）其他科学技术支出（款）其他科学技术支出（项）。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高质量发展推进表彰奖励，政务服务表彰奖励及禁捕退捕督查激励奖励</w:t>
      </w:r>
      <w:r>
        <w:rPr>
          <w:rFonts w:hint="eastAsia" w:ascii="Times New Roman" w:hAnsi="Times New Roman" w:eastAsia="仿宋_GB2312"/>
          <w:sz w:val="32"/>
          <w:szCs w:val="32"/>
          <w:lang w:val="en-US"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3、社会保障和就业支出（类）就业补助（款）其他就业补助支出（项）。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3.66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退役人员再就业援助金</w:t>
      </w:r>
      <w:r>
        <w:rPr>
          <w:rFonts w:hint="eastAsia" w:ascii="Times New Roman" w:hAnsi="Times New Roman" w:eastAsia="仿宋_GB2312"/>
          <w:sz w:val="32"/>
          <w:szCs w:val="32"/>
          <w:lang w:val="en-US"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4、社会保障和就业支出（类）抚恤（款）死亡抚恤（项）。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死亡抚恤金。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5、社会保障和就业支出（类）抚恤（款）其他优抚支出（项）。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11.62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再就业援助金</w:t>
      </w:r>
      <w:r>
        <w:rPr>
          <w:rFonts w:hint="eastAsia" w:ascii="Times New Roman" w:hAnsi="Times New Roman" w:eastAsia="仿宋_GB2312"/>
          <w:sz w:val="32"/>
          <w:szCs w:val="32"/>
          <w:lang w:val="en-US"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6、农林水支出（类）农业农村（款）其他农业农村支出（项）。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18378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交通项目建设资金。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7、农林水支出（类）巩固脱贫衔接乡村振兴（款）其他巩固脱贫衔接乡村振兴支出（项）。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708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农村公路建设资金和乡村振兴帮扶工作经费。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8、交通运输支出（类）公路水路运输（款）行政运行（项）。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2438.81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2379.96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97.59</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eastAsia="zh-CN"/>
        </w:rPr>
        <w:t>机构改革。</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9、交通运输支出（类）公路水路运输（款）一般行政管理事务（项）。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939.8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1339.8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142.56</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机构改革。</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10、交通运输支出（类）公路水路运输（款）机关服务（项）。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744.22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工资提标绩效考核交通补贴及协警工作经费等。</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11、交通运输支出（类）公路水路运输（款）公路建设（项）。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6629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交通项目建设资金。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12、交通运输支出（类）公路水路运输（款）其他公路水路运输支出（项）。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145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春运工作经费及五类人员补贴及城市公交车车辆收购经费。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13、交通运输支出（类）车辆购置税支出（款）车辆购置税用于公路等基础设施建设支出（项）。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客运总站建设资金。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14、交通运输支出（类）车辆购置税支出（款）车辆购置税其他支出（项）。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应急抢通资金。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15、交通运输支出（类）其他交通运输支出（款）公共交通运营补助（项）。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1350.52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公共汽车老年人乘车补贴资金。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16、交通运输支出（类）其他交通运输支出（款）其他交通运输支出（项）。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274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农村公路建设资金。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17、住房保障支出（类）住房改革支出（款）住房公积金（项）。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201.36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201.36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于年初预算数</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18、灾害防治及应急管理支出（类）应急管理事务（款）其他应急管理支出（项）。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防汛演练经费。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2581.32</w:t>
      </w:r>
      <w:r>
        <w:rPr>
          <w:rFonts w:hint="eastAsia" w:ascii="Times New Roman" w:hAnsi="Times New Roman" w:eastAsia="仿宋_GB2312"/>
          <w:sz w:val="32"/>
          <w:szCs w:val="32"/>
        </w:rPr>
        <w:t>万元，其中：</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2362.59</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91.53</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218.73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8.47</w:t>
      </w:r>
      <w:r>
        <w:rPr>
          <w:rFonts w:hint="eastAsia" w:ascii="Times New Roman" w:hAnsi="Times New Roman" w:eastAsia="仿宋_GB2312"/>
          <w:sz w:val="32"/>
          <w:szCs w:val="32"/>
        </w:rPr>
        <w:t>%，主要包括办公费、印刷费、咨询费、手续费</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20.6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20.6</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9.39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9.39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0.01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厉行节约</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11.21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11.21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0.01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0.09</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厉行节约</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9.39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45.58</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11.21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54.42</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、公务接待费支出决算为</w:t>
      </w:r>
      <w:r>
        <w:rPr>
          <w:rFonts w:hint="eastAsia" w:ascii="Times New Roman" w:hAnsi="Times New Roman" w:eastAsia="仿宋_GB2312"/>
          <w:sz w:val="32"/>
          <w:szCs w:val="32"/>
          <w:lang w:val="en-US" w:eastAsia="zh-CN"/>
        </w:rPr>
        <w:t>9.39</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58</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452</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eastAsia="zh-CN"/>
        </w:rPr>
        <w:t>检查调研工作</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、公务用车购置费及运行维护费支出决算为</w:t>
      </w:r>
      <w:r>
        <w:rPr>
          <w:rFonts w:hint="eastAsia" w:ascii="Times New Roman" w:hAnsi="Times New Roman" w:eastAsia="仿宋_GB2312"/>
          <w:sz w:val="32"/>
          <w:szCs w:val="32"/>
          <w:lang w:val="en-US" w:eastAsia="zh-CN"/>
        </w:rPr>
        <w:t>11.21</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万元，公务用车运行维护费</w:t>
      </w:r>
      <w:r>
        <w:rPr>
          <w:rFonts w:hint="eastAsia" w:ascii="Times New Roman" w:hAnsi="Times New Roman" w:eastAsia="仿宋_GB2312"/>
          <w:sz w:val="32"/>
          <w:szCs w:val="32"/>
          <w:lang w:val="en-US" w:eastAsia="zh-CN"/>
        </w:rPr>
        <w:t>11.21</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油费及维修</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辆。</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9681</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9681</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9681</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1、城乡社区支出（类）国有土地使用权出让收入安排的支出（款）城市建设支出（项）。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创建工作表彰奖励</w:t>
      </w:r>
      <w:r>
        <w:rPr>
          <w:rFonts w:hint="eastAsia" w:ascii="Times New Roman" w:hAnsi="Times New Roman" w:eastAsia="仿宋_GB2312"/>
          <w:sz w:val="32"/>
          <w:szCs w:val="32"/>
          <w:lang w:val="en-US"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2、其他支出（类）其他政府性基金及对应专项债务收入安排的支出（款）其他政府性基金安排的支出（项）。</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9680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砂管工资经费及客运总站启用工作经费及交通项目建设资金。</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218.73</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比上年决算数减少</w:t>
      </w:r>
      <w:r>
        <w:rPr>
          <w:rFonts w:hint="eastAsia" w:ascii="Times New Roman" w:hAnsi="Times New Roman" w:eastAsia="仿宋_GB2312"/>
          <w:sz w:val="32"/>
          <w:szCs w:val="32"/>
          <w:lang w:val="en-US" w:eastAsia="zh-CN"/>
        </w:rPr>
        <w:t>0.05</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0.02</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厉行节约</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9.56</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eastAsia="zh-CN"/>
        </w:rPr>
        <w:t>党建、法制、安全生产</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562</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党建、法制、安全生产的会议</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6.16</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事业单位人员继续教育</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185</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事业单位人员继续教育</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183.03</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47.8</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113.23</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27.32</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27.32</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20.92</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45.45</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26.49</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辆，其他用车主要是</w:t>
      </w:r>
      <w:r>
        <w:rPr>
          <w:rFonts w:hint="eastAsia" w:ascii="Times New Roman" w:hAnsi="Times New Roman" w:eastAsia="仿宋_GB2312"/>
          <w:sz w:val="32"/>
          <w:szCs w:val="32"/>
          <w:lang w:eastAsia="zh-CN"/>
        </w:rPr>
        <w:t>交通执法用车</w:t>
      </w:r>
      <w:r>
        <w:rPr>
          <w:rFonts w:hint="eastAsia" w:ascii="Times New Roman" w:hAnsi="Times New Roman" w:eastAsia="仿宋_GB2312"/>
          <w:sz w:val="32"/>
          <w:szCs w:val="32"/>
        </w:rPr>
        <w:t>；单位价值50万元以上通用设备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台（套）。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根据预算绩效管理要求，我部门组织对2022年度一般公共预算项目支出全面开展绩效自评，其中，一级项目13个，二级项目0个，共涉及资金993.4万元，占一般公共预算项目支出总额的100%。</w:t>
      </w:r>
    </w:p>
    <w:p>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组织对安全生产等1个项目开展了部门评价，涉及一般公共预算支出100 万元，政府性基金预算支出0万元，国有资本经营预算支出0万元。从评价情况来看良好。</w:t>
      </w:r>
    </w:p>
    <w:p>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组织对沅江市交通运输局等1个单位开展整体支出绩效评价，涉及一般公共预算支出3579.97万元，政府性基金预算支出0万元。从评价情况来看良好。</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pStyle w:val="10"/>
        <w:keepNext w:val="0"/>
        <w:keepLines w:val="0"/>
        <w:pageBreakBefore w:val="0"/>
        <w:widowControl w:val="0"/>
        <w:kinsoku/>
        <w:wordWrap/>
        <w:overflowPunct/>
        <w:topLinePunct w:val="0"/>
        <w:autoSpaceDE w:val="0"/>
        <w:autoSpaceDN w:val="0"/>
        <w:bidi w:val="0"/>
        <w:adjustRightInd w:val="0"/>
        <w:snapToGrid/>
        <w:jc w:val="left"/>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 xml:space="preserve">    预算执行中存在的问题主要是基础设施专项资金未纳入年初预算，所以造成预决算收入支出差异大。</w:t>
      </w:r>
    </w:p>
    <w:p>
      <w:pPr>
        <w:pStyle w:val="10"/>
        <w:jc w:val="center"/>
        <w:rPr>
          <w:rFonts w:hint="eastAsia" w:ascii="Times New Roman" w:hAnsi="Times New Roman" w:eastAsia="仿宋_GB2312" w:cs="黑体"/>
          <w:color w:val="000000"/>
          <w:kern w:val="0"/>
          <w:sz w:val="32"/>
          <w:szCs w:val="32"/>
          <w:lang w:val="en-US" w:eastAsia="zh-CN" w:bidi="ar-SA"/>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ind w:firstLine="643"/>
        <w:jc w:val="left"/>
        <w:rPr>
          <w:rFonts w:ascii="仿宋" w:hAnsi="仿宋" w:eastAsia="仿宋" w:cs="仿宋"/>
          <w:sz w:val="32"/>
        </w:rPr>
      </w:pPr>
      <w:bookmarkStart w:id="3" w:name="_GoBack"/>
      <w:bookmarkEnd w:id="3"/>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pStyle w:val="10"/>
        <w:keepNext w:val="0"/>
        <w:keepLines w:val="0"/>
        <w:pageBreakBefore w:val="0"/>
        <w:widowControl w:val="0"/>
        <w:kinsoku/>
        <w:wordWrap/>
        <w:overflowPunct/>
        <w:topLinePunct w:val="0"/>
        <w:autoSpaceDE w:val="0"/>
        <w:autoSpaceDN w:val="0"/>
        <w:bidi w:val="0"/>
        <w:adjustRightInd w:val="0"/>
        <w:snapToGrid/>
        <w:ind w:firstLine="640" w:firstLineChars="200"/>
        <w:jc w:val="left"/>
        <w:textAlignment w:val="auto"/>
        <w:rPr>
          <w:sz w:val="72"/>
          <w:szCs w:val="7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0OGFhYzEyMzA5YjcxNzYyMDJmYzUzOTUyMmRkZT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CAC44F0"/>
    <w:rsid w:val="25D80104"/>
    <w:rsid w:val="5777D4F5"/>
    <w:rsid w:val="5FC6BB1E"/>
    <w:rsid w:val="5FF720F1"/>
    <w:rsid w:val="61496499"/>
    <w:rsid w:val="626B2028"/>
    <w:rsid w:val="737D59BA"/>
    <w:rsid w:val="77C37683"/>
    <w:rsid w:val="79FF515B"/>
    <w:rsid w:val="7E9F11B4"/>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9"/>
    <w:unhideWhenUsed/>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Balloon Text"/>
    <w:basedOn w:val="1"/>
    <w:link w:val="12"/>
    <w:semiHidden/>
    <w:unhideWhenUsed/>
    <w:qFormat/>
    <w:uiPriority w:val="99"/>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2"/>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4"/>
    <w:semiHidden/>
    <w:qFormat/>
    <w:uiPriority w:val="99"/>
    <w:rPr>
      <w:sz w:val="18"/>
      <w:szCs w:val="18"/>
    </w:rPr>
  </w:style>
  <w:style w:type="character" w:customStyle="1" w:styleId="13">
    <w:name w:val="font01"/>
    <w:basedOn w:val="7"/>
    <w:qFormat/>
    <w:uiPriority w:val="0"/>
    <w:rPr>
      <w:rFonts w:hint="eastAsia" w:ascii="宋体" w:hAnsi="宋体" w:eastAsia="宋体" w:cs="宋体"/>
      <w:color w:val="000000"/>
      <w:sz w:val="22"/>
      <w:szCs w:val="22"/>
      <w:u w:val="none"/>
    </w:rPr>
  </w:style>
  <w:style w:type="character" w:customStyle="1" w:styleId="14">
    <w:name w:val="font21"/>
    <w:basedOn w:val="7"/>
    <w:qFormat/>
    <w:uiPriority w:val="0"/>
    <w:rPr>
      <w:rFonts w:hint="eastAsia" w:ascii="宋体" w:hAnsi="宋体" w:eastAsia="宋体" w:cs="宋体"/>
      <w:color w:val="000000"/>
      <w:sz w:val="24"/>
      <w:szCs w:val="24"/>
      <w:u w:val="none"/>
    </w:rPr>
  </w:style>
  <w:style w:type="character" w:customStyle="1" w:styleId="15">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34</Pages>
  <Words>10281</Words>
  <Characters>15672</Characters>
  <Lines>63</Lines>
  <Paragraphs>18</Paragraphs>
  <TotalTime>6</TotalTime>
  <ScaleCrop>false</ScaleCrop>
  <LinksUpToDate>false</LinksUpToDate>
  <CharactersWithSpaces>16497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筱梓</cp:lastModifiedBy>
  <cp:lastPrinted>2023-08-15T09:28:00Z</cp:lastPrinted>
  <dcterms:modified xsi:type="dcterms:W3CDTF">2023-08-25T07:06:10Z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E06684EFD36B40CAB20F4AA8216C1C7B_12</vt:lpwstr>
  </property>
</Properties>
</file>