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w:t>
      </w:r>
      <w:r>
        <w:rPr>
          <w:rFonts w:hint="eastAsia"/>
          <w:sz w:val="84"/>
          <w:szCs w:val="84"/>
          <w:lang w:val="en-US" w:eastAsia="zh-CN"/>
        </w:rPr>
        <w:t>2</w:t>
      </w:r>
      <w:r>
        <w:rPr>
          <w:rFonts w:hint="eastAsia"/>
          <w:sz w:val="84"/>
          <w:szCs w:val="84"/>
        </w:rPr>
        <w:t>年度</w:t>
      </w:r>
    </w:p>
    <w:p>
      <w:pPr>
        <w:pStyle w:val="9"/>
        <w:jc w:val="center"/>
        <w:rPr>
          <w:sz w:val="84"/>
          <w:szCs w:val="84"/>
        </w:rPr>
      </w:pPr>
      <w:r>
        <w:rPr>
          <w:rFonts w:hint="eastAsia"/>
          <w:sz w:val="84"/>
          <w:szCs w:val="84"/>
          <w:lang w:val="en-US" w:eastAsia="zh-CN"/>
        </w:rPr>
        <w:t>沅江市公安局</w:t>
      </w: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沅江市公安局</w:t>
      </w:r>
      <w:r>
        <w:rPr>
          <w:rFonts w:hint="eastAsia" w:ascii="黑体" w:hAnsi="黑体" w:eastAsia="黑体" w:cs="黑体"/>
          <w:b w:val="0"/>
          <w:bCs/>
          <w:sz w:val="28"/>
          <w:szCs w:val="28"/>
        </w:rPr>
        <w:t>概况</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9"/>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9"/>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9"/>
        <w:spacing w:line="500" w:lineRule="exact"/>
        <w:rPr>
          <w:sz w:val="72"/>
          <w:szCs w:val="72"/>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lang w:val="en-US" w:eastAsia="zh-CN"/>
        </w:rPr>
        <w:t>沅江市公安局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left"/>
        <w:rPr>
          <w:rFonts w:ascii="黑体" w:hAnsi="黑体" w:eastAsia="黑体"/>
          <w:sz w:val="32"/>
          <w:szCs w:val="32"/>
        </w:rPr>
      </w:pPr>
      <w:r>
        <w:rPr>
          <w:rFonts w:hint="default" w:ascii="黑体" w:hAnsi="黑体" w:eastAsia="黑体" w:cstheme="minorBidi"/>
          <w:kern w:val="2"/>
          <w:sz w:val="32"/>
          <w:szCs w:val="32"/>
          <w:lang w:val="en-US" w:eastAsia="zh-CN" w:bidi="ar-SA"/>
        </w:rPr>
        <w:t>一、</w:t>
      </w:r>
      <w:r>
        <w:rPr>
          <w:rFonts w:ascii="黑体" w:hAnsi="黑体" w:eastAsia="黑体"/>
          <w:sz w:val="32"/>
          <w:szCs w:val="32"/>
        </w:rPr>
        <w:t>部门职责</w:t>
      </w:r>
    </w:p>
    <w:p>
      <w:pPr>
        <w:keepNext w:val="0"/>
        <w:keepLines w:val="0"/>
        <w:pageBreakBefore w:val="0"/>
        <w:kinsoku/>
        <w:wordWrap/>
        <w:overflowPunct/>
        <w:topLinePunct w:val="0"/>
        <w:autoSpaceDE/>
        <w:autoSpaceDN/>
        <w:bidi w:val="0"/>
        <w:adjustRightInd/>
        <w:snapToGrid/>
        <w:spacing w:line="600" w:lineRule="exact"/>
        <w:ind w:firstLine="600" w:firstLineChars="200"/>
        <w:jc w:val="left"/>
        <w:textAlignment w:val="center"/>
        <w:rPr>
          <w:rFonts w:hint="eastAsia" w:ascii="仿宋_GB2312" w:hAnsi="仿宋" w:eastAsia="仿宋_GB2312"/>
          <w:sz w:val="32"/>
          <w:szCs w:val="32"/>
        </w:rPr>
      </w:pPr>
      <w:r>
        <w:rPr>
          <w:rFonts w:hint="eastAsia" w:ascii="仿宋_GB2312" w:hAnsi="仿宋_GB2312" w:eastAsia="仿宋_GB2312"/>
          <w:color w:val="333333"/>
          <w:kern w:val="0"/>
          <w:sz w:val="30"/>
        </w:rPr>
        <w:t>沅江市公安局的主要工作职责是贯彻执行公安工作的方针、政策、法律、法规、规章；参与起草有关地方性规章；部署、指导、监督、检查全县公安工作。收集、掌握隐蔽斗争和影响稳定、危害国内安全和社会治安的情况，负责掌握、控制、处置全县“法轮功“及其他有害气功组织的违法犯罪活动，分析形势，研究公安工作出现的新情况、新问题，为县委、县政府和市公安局提供信息、制定对策。抓好全县公安法制建设，按管辖办理行政诉讼、行政复议案件。组织全县公安侦查工作；协调处置重大案件、治安灾害事故、骚乱和群体性突发事件；组织实施重大活动的安全保卫工作。组织全县公安机关查处危害社会治安秩序行为；依法管理户口、居民身份证、枪支弹药、危险物品、特种行业等工作；依法管理集会、游行、示威活动。组织全县公安机关维护道路交通安全、交通秩序；组织协调处置重大交通事故；依法管理机动车辆（含农用运输车）和驾驶员的管理工作。组织实施全县消防监督、火灾预防和扑救等工作。做好全县公安警卫业务工作，组织实施对党和国家领导人以及重要外宾在管辖区域内的安全警卫工作。依法管理国籍、出境入境和外国人在管辖区域内居留、旅行的有关工作。组织全县公安机关依法承担的执行刑罚和监督工作；做好全县看守所、治安拘留所、强制戒毒所、留置室等管理工作。做好全县公安机关对公共信息网络的安全监察工作。组织全县公安机关对国家机关、社会团体、企事业单位和重点建设工程的治安保卫工作及群众性组织的治安防范工作。实施全县公安科学技术工作；组织全县公安信息技术、刑事技术建设。组织指挥武警内卫部队执行公安任务。分析全县公安队伍状况，研究、制定公安队伍建设、民警教育训练和公安宣传的规章制度，组织全县公安队伍建设、干警教育训练和公安宣传工作，监督检查落实情况，按规定权限管理干部。组织全县公安机关纪检监察和警务督察工作；对全县公安机关及其人民警察的执法情况进行督；查处或督办重大违纪案件。承办全县公安装备、被装、经费等警务保障计划；管理分配全县公安装备、被装和经费。承办县政府禁毒委员会、打拐领导小组日常工作。承办县委、县政府和市公安局交办的其他事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pageBreakBefore w:val="0"/>
        <w:kinsoku/>
        <w:wordWrap/>
        <w:overflowPunct/>
        <w:topLinePunct w:val="0"/>
        <w:autoSpaceDE/>
        <w:autoSpaceDN/>
        <w:bidi w:val="0"/>
        <w:adjustRightInd/>
        <w:snapToGrid/>
        <w:spacing w:line="600" w:lineRule="exact"/>
        <w:ind w:firstLine="640" w:firstLineChars="200"/>
        <w:jc w:val="left"/>
        <w:rPr>
          <w:rFonts w:hint="default" w:ascii="宋体" w:hAnsi="宋体"/>
          <w:bCs/>
          <w:kern w:val="0"/>
          <w:sz w:val="32"/>
          <w:szCs w:val="32"/>
          <w:lang w:val="en-US"/>
        </w:rPr>
      </w:pPr>
      <w:r>
        <w:rPr>
          <w:rFonts w:hint="eastAsia" w:ascii="仿宋_GB2312" w:hAnsi="仿宋_GB2312" w:eastAsia="仿宋_GB2312" w:cs="仿宋_GB2312"/>
          <w:b/>
          <w:bCs/>
          <w:color w:val="000000"/>
          <w:kern w:val="0"/>
          <w:sz w:val="32"/>
          <w:szCs w:val="32"/>
          <w:lang w:val="en-US" w:eastAsia="zh-CN" w:bidi="ar-SA"/>
        </w:rPr>
        <w:t>（一）内设机构设置。</w:t>
      </w:r>
      <w:r>
        <w:rPr>
          <w:rFonts w:hint="eastAsia" w:ascii="仿宋" w:hAnsi="仿宋" w:eastAsia="仿宋" w:cs="仿宋"/>
          <w:sz w:val="32"/>
          <w:lang w:val="en-US" w:eastAsia="zh-CN"/>
        </w:rPr>
        <w:t>沅江市公安局下设20个科</w:t>
      </w:r>
      <w:r>
        <w:rPr>
          <w:rFonts w:hint="eastAsia" w:ascii="仿宋" w:hAnsi="仿宋" w:eastAsia="仿宋" w:cs="仿宋"/>
          <w:color w:val="auto"/>
          <w:sz w:val="32"/>
          <w:lang w:val="en-US" w:eastAsia="zh-CN"/>
        </w:rPr>
        <w:t>所队室（政工室，纪检监察室，指挥中心，民调中心，警务保障室，执法监督大队，人口出入境大队，刑警大队，禁毒办，禁毒大队，治安大队，网安大队，经侦大队，城管警察大队，巡特警大队，国保大队，科信大队，维稳办，行政审批办，警务辅助事务中心），17个派出所（庆云山派出所，琼湖</w:t>
      </w:r>
      <w:r>
        <w:rPr>
          <w:rFonts w:hint="eastAsia" w:ascii="仿宋" w:hAnsi="仿宋" w:eastAsia="仿宋" w:cs="仿宋"/>
          <w:sz w:val="32"/>
          <w:lang w:val="en-US" w:eastAsia="zh-CN"/>
        </w:rPr>
        <w:t>派出所，浩江湖派出所，三眼塘派出所，万子湖派出所，南洞庭派出所，茶盘洲派出所，新湾派出所，南嘴派出所，草尾派出所，黄茅洲派出所，共华派出所，阳罗派出所，四季红派出所，南大派出所，泗湖山派出所，漉湖派出所）。当年无变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rPr>
          <w:rFonts w:ascii="仿宋_GB2312" w:eastAsia="仿宋_GB2312" w:hAnsiTheme="minorEastAsia"/>
          <w:sz w:val="28"/>
          <w:szCs w:val="32"/>
        </w:rPr>
      </w:pPr>
      <w:r>
        <w:rPr>
          <w:rFonts w:hint="eastAsia" w:ascii="仿宋_GB2312" w:hAnsi="仿宋_GB2312" w:eastAsia="仿宋_GB2312" w:cs="仿宋_GB2312"/>
          <w:b/>
          <w:bCs/>
          <w:color w:val="000000"/>
          <w:kern w:val="0"/>
          <w:sz w:val="32"/>
          <w:szCs w:val="32"/>
          <w:lang w:val="en-US" w:eastAsia="zh-CN" w:bidi="ar-SA"/>
        </w:rPr>
        <w:t>（二）决算单位构成。</w:t>
      </w:r>
      <w:r>
        <w:rPr>
          <w:rFonts w:hint="eastAsia" w:ascii="仿宋" w:hAnsi="仿宋" w:eastAsia="仿宋" w:cs="仿宋"/>
          <w:sz w:val="32"/>
          <w:lang w:val="en-US" w:eastAsia="zh-CN"/>
        </w:rPr>
        <w:t>沅江市</w:t>
      </w:r>
      <w:r>
        <w:rPr>
          <w:rFonts w:ascii="仿宋" w:hAnsi="仿宋" w:eastAsia="仿宋" w:cs="仿宋"/>
          <w:sz w:val="32"/>
        </w:rPr>
        <w:t>部门决算包括：</w:t>
      </w:r>
      <w:r>
        <w:rPr>
          <w:rFonts w:hint="eastAsia" w:ascii="仿宋" w:hAnsi="仿宋" w:eastAsia="仿宋" w:cs="仿宋"/>
          <w:sz w:val="32"/>
          <w:lang w:val="en-US" w:eastAsia="zh-CN"/>
        </w:rPr>
        <w:t>沅江市公安局本级</w:t>
      </w:r>
      <w:r>
        <w:rPr>
          <w:rFonts w:ascii="仿宋" w:hAnsi="仿宋" w:eastAsia="仿宋" w:cs="仿宋"/>
          <w:sz w:val="32"/>
        </w:rPr>
        <w:t>部门决算、</w:t>
      </w:r>
      <w:r>
        <w:rPr>
          <w:rFonts w:hint="eastAsia" w:ascii="仿宋" w:hAnsi="仿宋" w:eastAsia="仿宋" w:cs="仿宋"/>
          <w:sz w:val="32"/>
          <w:lang w:val="en-US" w:eastAsia="zh-CN"/>
        </w:rPr>
        <w:t>不含二级预算单位决算。当年无变动。</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ascii="黑体" w:eastAsia="黑体" w:cs="黑体" w:hAnsiTheme="minorHAnsi"/>
          <w:color w:val="000000"/>
          <w:kern w:val="0"/>
          <w:sz w:val="72"/>
          <w:szCs w:val="72"/>
          <w:lang w:val="en-US" w:eastAsia="zh-CN" w:bidi="ar-SA"/>
        </w:rPr>
      </w:pPr>
      <w:r>
        <w:rPr>
          <w:rFonts w:hint="eastAsia" w:ascii="黑体" w:eastAsia="黑体" w:cs="黑体" w:hAnsiTheme="minorHAnsi"/>
          <w:color w:val="000000"/>
          <w:kern w:val="0"/>
          <w:sz w:val="72"/>
          <w:szCs w:val="72"/>
          <w:lang w:val="en-US" w:eastAsia="zh-CN" w:bidi="ar-SA"/>
        </w:rPr>
        <w:t>第二部分</w:t>
      </w:r>
    </w:p>
    <w:p>
      <w:pPr>
        <w:jc w:val="center"/>
        <w:rPr>
          <w:rFonts w:hint="eastAsia" w:ascii="黑体" w:eastAsia="黑体" w:cs="黑体" w:hAnsiTheme="minorHAnsi"/>
          <w:color w:val="000000"/>
          <w:kern w:val="0"/>
          <w:sz w:val="72"/>
          <w:szCs w:val="72"/>
          <w:lang w:val="en-US" w:eastAsia="zh-CN" w:bidi="ar-SA"/>
        </w:rPr>
      </w:pPr>
    </w:p>
    <w:p>
      <w:pPr>
        <w:jc w:val="center"/>
        <w:rPr>
          <w:rFonts w:hint="eastAsia" w:ascii="黑体" w:eastAsia="黑体" w:cs="黑体" w:hAnsiTheme="minorHAnsi"/>
          <w:color w:val="000000"/>
          <w:kern w:val="0"/>
          <w:sz w:val="72"/>
          <w:szCs w:val="72"/>
          <w:lang w:val="en-US" w:eastAsia="zh-CN" w:bidi="ar-SA"/>
        </w:rPr>
      </w:pPr>
      <w:r>
        <w:rPr>
          <w:rFonts w:hint="eastAsia" w:ascii="黑体" w:eastAsia="黑体" w:cs="黑体" w:hAnsiTheme="minorHAnsi"/>
          <w:color w:val="000000"/>
          <w:kern w:val="0"/>
          <w:sz w:val="72"/>
          <w:szCs w:val="72"/>
          <w:lang w:val="en-US" w:eastAsia="zh-CN" w:bidi="ar-SA"/>
        </w:rPr>
        <w:t>部</w:t>
      </w:r>
      <w:bookmarkStart w:id="0" w:name="_GoBack"/>
      <w:bookmarkEnd w:id="0"/>
      <w:r>
        <w:rPr>
          <w:rFonts w:hint="eastAsia" w:ascii="黑体" w:eastAsia="黑体" w:cs="黑体" w:hAnsiTheme="minorHAnsi"/>
          <w:color w:val="000000"/>
          <w:kern w:val="0"/>
          <w:sz w:val="72"/>
          <w:szCs w:val="72"/>
          <w:lang w:val="en-US" w:eastAsia="zh-CN" w:bidi="ar-SA"/>
        </w:rPr>
        <w:t>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rFonts w:hint="eastAsia"/>
          <w:sz w:val="70"/>
          <w:szCs w:val="70"/>
          <w:lang w:eastAsia="zh-CN"/>
        </w:rPr>
        <w:t>2022</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val="0"/>
          <w:bCs/>
          <w:sz w:val="32"/>
          <w:szCs w:val="32"/>
        </w:rPr>
      </w:pPr>
      <w:r>
        <w:rPr>
          <w:rFonts w:hint="eastAsia" w:hAnsi="黑体"/>
          <w:b w:val="0"/>
          <w:bCs/>
          <w:sz w:val="32"/>
          <w:szCs w:val="32"/>
        </w:rPr>
        <w:t>一、收入支出决算总体情况</w:t>
      </w:r>
      <w:r>
        <w:rPr>
          <w:rFonts w:hint="eastAsia" w:hAnsi="黑体"/>
          <w:b w:val="0"/>
          <w:bCs/>
          <w:sz w:val="32"/>
          <w:szCs w:val="32"/>
        </w:rPr>
        <w:t>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2022</w:t>
      </w:r>
      <w:r>
        <w:rPr>
          <w:rFonts w:hint="eastAsia" w:ascii="Times New Roman" w:hAnsi="Times New Roman" w:eastAsia="仿宋_GB2312"/>
          <w:sz w:val="32"/>
          <w:szCs w:val="32"/>
        </w:rPr>
        <w:t>年度收</w:t>
      </w:r>
      <w:r>
        <w:rPr>
          <w:rFonts w:hint="eastAsia" w:ascii="Times New Roman" w:hAnsi="Times New Roman" w:eastAsia="仿宋_GB2312"/>
          <w:sz w:val="32"/>
          <w:szCs w:val="32"/>
          <w:lang w:val="en-US" w:eastAsia="zh-CN"/>
        </w:rPr>
        <w:t>入10045.78</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减少</w:t>
      </w:r>
      <w:r>
        <w:rPr>
          <w:rFonts w:hint="eastAsia" w:ascii="Times New Roman" w:hAnsi="Times New Roman" w:eastAsia="仿宋_GB2312"/>
          <w:sz w:val="32"/>
          <w:szCs w:val="32"/>
        </w:rPr>
        <w:t>4,621</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27万元，</w:t>
      </w:r>
      <w:r>
        <w:rPr>
          <w:rFonts w:hint="eastAsia" w:ascii="Times New Roman" w:hAnsi="Times New Roman" w:eastAsia="仿宋_GB2312"/>
          <w:sz w:val="32"/>
          <w:szCs w:val="32"/>
          <w:lang w:val="en-US" w:eastAsia="zh-CN"/>
        </w:rPr>
        <w:t>减少31.51%</w:t>
      </w:r>
      <w:r>
        <w:rPr>
          <w:rFonts w:hint="eastAsia" w:ascii="Times New Roman" w:hAnsi="Times New Roman" w:eastAsia="仿宋_GB2312"/>
          <w:sz w:val="32"/>
          <w:szCs w:val="32"/>
        </w:rPr>
        <w:t>，主要是因为将近3000万元收入调整为2021应拨收入</w:t>
      </w:r>
      <w:r>
        <w:rPr>
          <w:rFonts w:hint="eastAsia" w:ascii="Times New Roman" w:hAnsi="Times New Roman" w:eastAsia="仿宋_GB2312"/>
          <w:sz w:val="32"/>
          <w:szCs w:val="32"/>
          <w:lang w:eastAsia="zh-CN"/>
        </w:rPr>
        <w:t>转为预算内拨入，</w:t>
      </w:r>
      <w:r>
        <w:rPr>
          <w:rFonts w:hint="eastAsia" w:ascii="Times New Roman" w:hAnsi="Times New Roman" w:eastAsia="仿宋_GB2312"/>
          <w:sz w:val="32"/>
          <w:szCs w:val="32"/>
          <w:lang w:val="en-US" w:eastAsia="zh-CN"/>
        </w:rPr>
        <w:t>财政</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了拨款</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2022年度</w:t>
      </w:r>
      <w:r>
        <w:rPr>
          <w:rFonts w:hint="eastAsia" w:ascii="Times New Roman" w:hAnsi="Times New Roman" w:eastAsia="仿宋_GB2312"/>
          <w:sz w:val="32"/>
          <w:szCs w:val="32"/>
        </w:rPr>
        <w:t>支</w:t>
      </w:r>
      <w:r>
        <w:rPr>
          <w:rFonts w:hint="eastAsia" w:ascii="Times New Roman" w:hAnsi="Times New Roman" w:eastAsia="仿宋_GB2312"/>
          <w:sz w:val="32"/>
          <w:szCs w:val="32"/>
          <w:lang w:val="en-US" w:eastAsia="zh-CN"/>
        </w:rPr>
        <w:t>出13121.31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增加</w:t>
      </w:r>
      <w:r>
        <w:rPr>
          <w:rFonts w:hint="eastAsia" w:ascii="Times New Roman" w:hAnsi="Times New Roman" w:eastAsia="仿宋_GB2312"/>
          <w:sz w:val="32"/>
          <w:szCs w:val="32"/>
          <w:lang w:eastAsia="zh-CN"/>
        </w:rPr>
        <w:t>1281.53</w:t>
      </w:r>
      <w:r>
        <w:rPr>
          <w:rFonts w:hint="eastAsia" w:ascii="Times New Roman" w:hAnsi="Times New Roman" w:eastAsia="仿宋_GB2312"/>
          <w:sz w:val="32"/>
          <w:szCs w:val="32"/>
          <w:lang w:val="en-US" w:eastAsia="zh-CN"/>
        </w:rPr>
        <w:t>万元，</w:t>
      </w:r>
      <w:r>
        <w:rPr>
          <w:rFonts w:hint="eastAsia" w:ascii="Times New Roman" w:hAnsi="Times New Roman" w:eastAsia="仿宋_GB2312"/>
          <w:sz w:val="32"/>
          <w:szCs w:val="32"/>
        </w:rPr>
        <w:t>主要是因为根据实际工作需要，支付部分基建款项</w:t>
      </w:r>
      <w:r>
        <w:rPr>
          <w:rFonts w:hint="eastAsia" w:ascii="Times New Roman" w:hAnsi="Times New Roman" w:eastAsia="仿宋_GB2312"/>
          <w:sz w:val="32"/>
          <w:szCs w:val="32"/>
          <w:lang w:val="en-US" w:eastAsia="zh-CN"/>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val="0"/>
          <w:bCs/>
          <w:sz w:val="32"/>
          <w:szCs w:val="32"/>
        </w:rPr>
      </w:pPr>
      <w:r>
        <w:rPr>
          <w:rFonts w:hint="eastAsia" w:hAnsi="黑体"/>
          <w:b w:val="0"/>
          <w:bCs/>
          <w:sz w:val="32"/>
          <w:szCs w:val="32"/>
        </w:rPr>
        <w:t>二、收入决算情况说明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10045.78</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9155.93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91.14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889.85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8.86</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Ansi="黑体"/>
          <w:b w:val="0"/>
          <w:bCs/>
          <w:sz w:val="32"/>
          <w:szCs w:val="32"/>
        </w:rPr>
      </w:pPr>
      <w:r>
        <w:rPr>
          <w:rFonts w:hint="eastAsia" w:hAnsi="黑体"/>
          <w:b w:val="0"/>
          <w:bCs/>
          <w:sz w:val="32"/>
          <w:szCs w:val="32"/>
        </w:rPr>
        <w:t>三、支出决算情况说明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13121.31</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7828.15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59.66</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5293.16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40.34</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四、财政拨款收入支出决算总体情况说明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eastAsia="仿宋_GB2312" w:asciiTheme="minorEastAsia" w:hAnsiTheme="minorEastAsia"/>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w:t>
      </w:r>
      <w:r>
        <w:rPr>
          <w:rFonts w:hint="eastAsia" w:ascii="Times New Roman" w:hAnsi="Times New Roman" w:eastAsia="仿宋_GB2312"/>
          <w:sz w:val="32"/>
          <w:szCs w:val="32"/>
          <w:lang w:val="en-US" w:eastAsia="zh-CN"/>
        </w:rPr>
        <w:t>入9155.93</w:t>
      </w:r>
      <w:r>
        <w:rPr>
          <w:rFonts w:hint="eastAsia" w:ascii="Times New Roman" w:hAnsi="Times New Roman" w:eastAsia="仿宋_GB2312"/>
          <w:sz w:val="32"/>
          <w:szCs w:val="32"/>
        </w:rPr>
        <w:t>万元、支</w:t>
      </w:r>
      <w:r>
        <w:rPr>
          <w:rFonts w:hint="eastAsia" w:ascii="Times New Roman" w:hAnsi="Times New Roman" w:eastAsia="仿宋_GB2312"/>
          <w:sz w:val="32"/>
          <w:szCs w:val="32"/>
          <w:lang w:val="en-US" w:eastAsia="zh-CN"/>
        </w:rPr>
        <w:t>出12026.35</w:t>
      </w:r>
      <w:r>
        <w:rPr>
          <w:rFonts w:hint="eastAsia" w:ascii="Times New Roman" w:hAnsi="Times New Roman" w:eastAsia="仿宋_GB2312"/>
          <w:sz w:val="32"/>
          <w:szCs w:val="32"/>
        </w:rPr>
        <w:t>万元，与上年相比，</w:t>
      </w:r>
      <w:r>
        <w:rPr>
          <w:rFonts w:hint="eastAsia" w:ascii="Times New Roman" w:hAnsi="Times New Roman" w:eastAsia="仿宋_GB2312"/>
          <w:sz w:val="32"/>
          <w:szCs w:val="32"/>
          <w:lang w:val="en-US" w:eastAsia="zh-CN"/>
        </w:rPr>
        <w:t>收入减少1966</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减少17.68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2022年一般公共预算财政拨款收入减少约1990万元，一般公共预算财政拨款支出增加约680万元。</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五、一般公共预算财政拨款支出决算情况说明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（一）财政拨款支出决算总体情况</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12026.35</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91.66</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706.62</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6.24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2022年奖金支出增加约760万元</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（二）财政拨款支出决算结构情况</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12026.35</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0.06</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公共安全</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11552.58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96.06</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科学技术</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64.93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0.54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农林水</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0.07</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住房保障</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335.74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2.79</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灾害防治及应急管理（类）支出4.8万元，占0.04%；其他</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0.43</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（三）财政拨款支出决算具体情况</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heme="minorEastAsia" w:hAnsiTheme="minorEastAsia" w:eastAsiaTheme="minorEastAsia"/>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6920.48</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调整预算数为13932.22万元，</w:t>
      </w:r>
      <w:r>
        <w:rPr>
          <w:rFonts w:hint="eastAsia" w:ascii="Times New Roman" w:hAnsi="Times New Roman" w:eastAsia="仿宋_GB2312"/>
          <w:sz w:val="32"/>
          <w:szCs w:val="32"/>
        </w:rPr>
        <w:t>支出决算数为</w:t>
      </w:r>
      <w:r>
        <w:rPr>
          <w:rFonts w:hint="eastAsia" w:ascii="Times New Roman" w:hAnsi="Times New Roman" w:eastAsia="仿宋_GB2312"/>
          <w:sz w:val="32"/>
          <w:szCs w:val="32"/>
          <w:lang w:val="en-US" w:eastAsia="zh-CN"/>
        </w:rPr>
        <w:t>12026.35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173.78</w:t>
      </w:r>
      <w:r>
        <w:rPr>
          <w:rFonts w:hint="eastAsia" w:ascii="Times New Roman" w:hAnsi="Times New Roman" w:eastAsia="仿宋_GB2312"/>
          <w:sz w:val="32"/>
          <w:szCs w:val="32"/>
        </w:rPr>
        <w:t>%，其中：</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按经济分类，工资福利支出</w:t>
      </w:r>
      <w:r>
        <w:rPr>
          <w:rFonts w:hint="eastAsia" w:ascii="Times New Roman" w:hAnsi="Times New Roman" w:eastAsia="仿宋_GB2312"/>
          <w:sz w:val="32"/>
          <w:szCs w:val="32"/>
          <w:lang w:val="en-US" w:eastAsia="zh-CN"/>
        </w:rPr>
        <w:t>6787.70</w:t>
      </w:r>
      <w:r>
        <w:rPr>
          <w:rFonts w:hint="eastAsia" w:ascii="Times New Roman" w:hAnsi="Times New Roman" w:eastAsia="仿宋_GB2312"/>
          <w:sz w:val="32"/>
          <w:szCs w:val="32"/>
        </w:rPr>
        <w:t>万元，比上年</w:t>
      </w:r>
      <w:r>
        <w:rPr>
          <w:rFonts w:hint="eastAsia" w:ascii="Times New Roman" w:hAnsi="Times New Roman" w:eastAsia="仿宋_GB2312"/>
          <w:sz w:val="32"/>
          <w:szCs w:val="32"/>
          <w:lang w:val="en-US" w:eastAsia="zh-CN"/>
        </w:rPr>
        <w:t>增加931.49</w:t>
      </w:r>
      <w:r>
        <w:rPr>
          <w:rFonts w:hint="eastAsia" w:ascii="Times New Roman" w:hAnsi="Times New Roman" w:eastAsia="仿宋_GB2312"/>
          <w:sz w:val="32"/>
          <w:szCs w:val="32"/>
        </w:rPr>
        <w:t>万元，商品服务支出</w:t>
      </w:r>
      <w:r>
        <w:rPr>
          <w:rFonts w:hint="eastAsia" w:ascii="Times New Roman" w:hAnsi="Times New Roman" w:eastAsia="仿宋_GB2312"/>
          <w:sz w:val="32"/>
          <w:szCs w:val="32"/>
          <w:lang w:val="en-US" w:eastAsia="zh-CN"/>
        </w:rPr>
        <w:t>3058.06</w:t>
      </w:r>
      <w:r>
        <w:rPr>
          <w:rFonts w:hint="eastAsia" w:ascii="Times New Roman" w:hAnsi="Times New Roman" w:eastAsia="仿宋_GB2312"/>
          <w:sz w:val="32"/>
          <w:szCs w:val="32"/>
        </w:rPr>
        <w:t>万元，比上年</w:t>
      </w:r>
      <w:r>
        <w:rPr>
          <w:rFonts w:hint="eastAsia" w:ascii="Times New Roman" w:hAnsi="Times New Roman" w:eastAsia="仿宋_GB2312"/>
          <w:sz w:val="32"/>
          <w:szCs w:val="32"/>
          <w:lang w:val="en-US" w:eastAsia="zh-CN"/>
        </w:rPr>
        <w:t>增加103.44</w:t>
      </w:r>
      <w:r>
        <w:rPr>
          <w:rFonts w:hint="eastAsia" w:ascii="Times New Roman" w:hAnsi="Times New Roman" w:eastAsia="仿宋_GB2312"/>
          <w:sz w:val="32"/>
          <w:szCs w:val="32"/>
        </w:rPr>
        <w:t>万元，对个人和家庭的补助</w:t>
      </w:r>
      <w:r>
        <w:rPr>
          <w:rFonts w:hint="eastAsia" w:ascii="Times New Roman" w:hAnsi="Times New Roman" w:eastAsia="仿宋_GB2312"/>
          <w:sz w:val="32"/>
          <w:szCs w:val="32"/>
          <w:lang w:val="en-US" w:eastAsia="zh-CN"/>
        </w:rPr>
        <w:t>141.54</w:t>
      </w:r>
      <w:r>
        <w:rPr>
          <w:rFonts w:hint="eastAsia" w:ascii="Times New Roman" w:hAnsi="Times New Roman" w:eastAsia="仿宋_GB2312"/>
          <w:sz w:val="32"/>
          <w:szCs w:val="32"/>
        </w:rPr>
        <w:t>万元，比上年</w:t>
      </w:r>
      <w:r>
        <w:rPr>
          <w:rFonts w:hint="eastAsia" w:ascii="Times New Roman" w:hAnsi="Times New Roman" w:eastAsia="仿宋_GB2312"/>
          <w:sz w:val="32"/>
          <w:szCs w:val="32"/>
          <w:lang w:val="en-US" w:eastAsia="zh-CN"/>
        </w:rPr>
        <w:t>减少0.81</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资本性</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1987.05</w:t>
      </w:r>
      <w:r>
        <w:rPr>
          <w:rFonts w:hint="eastAsia" w:ascii="Times New Roman" w:hAnsi="Times New Roman" w:eastAsia="仿宋_GB2312"/>
          <w:sz w:val="32"/>
          <w:szCs w:val="32"/>
        </w:rPr>
        <w:t>万，比上年</w:t>
      </w:r>
      <w:r>
        <w:rPr>
          <w:rFonts w:hint="eastAsia" w:ascii="Times New Roman" w:hAnsi="Times New Roman" w:eastAsia="仿宋_GB2312"/>
          <w:sz w:val="32"/>
          <w:szCs w:val="32"/>
          <w:lang w:val="en-US" w:eastAsia="zh-CN"/>
        </w:rPr>
        <w:t>减少379.5</w:t>
      </w:r>
      <w:r>
        <w:rPr>
          <w:rFonts w:hint="eastAsia" w:ascii="Times New Roman" w:hAnsi="Times New Roman" w:eastAsia="仿宋_GB2312"/>
          <w:sz w:val="32"/>
          <w:szCs w:val="32"/>
        </w:rPr>
        <w:t>万元。</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六、一般公共预算财政拨款基本支出决算情况说明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2022</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7703.85</w:t>
      </w:r>
      <w:r>
        <w:rPr>
          <w:rFonts w:hint="eastAsia" w:ascii="Times New Roman" w:hAnsi="Times New Roman" w:eastAsia="仿宋_GB2312"/>
          <w:sz w:val="32"/>
          <w:szCs w:val="32"/>
        </w:rPr>
        <w:t>万元，其中：人员经费</w:t>
      </w:r>
      <w:r>
        <w:rPr>
          <w:rFonts w:hint="eastAsia" w:ascii="Times New Roman" w:hAnsi="Times New Roman" w:eastAsia="仿宋_GB2312"/>
          <w:sz w:val="32"/>
          <w:szCs w:val="32"/>
          <w:lang w:val="en-US" w:eastAsia="zh-CN"/>
        </w:rPr>
        <w:t>6929.24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84.29</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机关事业单位基本养老保险缴费、职工基本医疗保险缴费、其他社会保障缴费、住房公积金、其他工资福利支出</w:t>
      </w:r>
      <w:r>
        <w:rPr>
          <w:rFonts w:hint="eastAsia" w:ascii="Times New Roman" w:hAnsi="Times New Roman" w:eastAsia="仿宋_GB2312"/>
          <w:sz w:val="32"/>
          <w:szCs w:val="32"/>
        </w:rPr>
        <w:t>；公用经费</w:t>
      </w:r>
      <w:r>
        <w:rPr>
          <w:rFonts w:hint="eastAsia" w:ascii="Times New Roman" w:hAnsi="Times New Roman" w:eastAsia="仿宋_GB2312"/>
          <w:sz w:val="32"/>
          <w:szCs w:val="32"/>
          <w:lang w:val="en-US" w:eastAsia="zh-CN"/>
        </w:rPr>
        <w:t>774.61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15.71</w:t>
      </w:r>
      <w:r>
        <w:rPr>
          <w:rFonts w:hint="eastAsia" w:ascii="Times New Roman" w:hAnsi="Times New Roman" w:eastAsia="仿宋_GB2312"/>
          <w:sz w:val="32"/>
          <w:szCs w:val="32"/>
        </w:rPr>
        <w:t>%，主要包括办公费、印刷费、</w:t>
      </w:r>
      <w:r>
        <w:rPr>
          <w:rFonts w:hint="eastAsia" w:ascii="Times New Roman" w:hAnsi="Times New Roman" w:eastAsia="仿宋_GB2312"/>
          <w:sz w:val="32"/>
          <w:szCs w:val="32"/>
          <w:lang w:val="en-US" w:eastAsia="zh-CN"/>
        </w:rPr>
        <w:t>水费、电费、邮电费、取暖费、物业管理费、差旅费、维修（护）费、租赁费、会议费、培训费、公务接待费、专用材料费、被装购置费、专用燃料费、劳务费、委托业务费、工会经费、公务用车运行维护费、其他交通费用、其他商品和服务支出。</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七、一般公共预算财政拨款“三公”经费支出决算情况说明</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（一）“三公”经费财政拨款支出决算总体情况说明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357.50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357.50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10.74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10.74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160.11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160.11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eastAsia="仿宋_GB2312" w:asciiTheme="minorEastAsia" w:hAnsiTheme="minorEastAsia"/>
          <w:b/>
          <w:sz w:val="32"/>
          <w:szCs w:val="32"/>
          <w:lang w:val="en-US"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186.65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186.65</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（二）“三公”经费财政拨款支出决算具体情况说明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10.74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34</w:t>
      </w:r>
      <w:r>
        <w:rPr>
          <w:rFonts w:hint="eastAsia" w:ascii="Times New Roman" w:hAnsi="Times New Roman" w:eastAsia="仿宋_GB2312" w:cstheme="minorBidi"/>
          <w:color w:val="auto"/>
          <w:kern w:val="2"/>
          <w:sz w:val="32"/>
          <w:szCs w:val="32"/>
          <w:lang w:val="en-US" w:eastAsia="zh-CN" w:bidi="ar-SA"/>
        </w:rPr>
        <w:t>6.76万元，占97.00%。其中：</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1、因公出国（境）费支出决算为0万元，全年安排因公出国（境）团组0个，累计0人次，无相关开支。</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theme="minorBidi"/>
          <w:color w:val="auto"/>
          <w:kern w:val="2"/>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2、公务接待费支出决算为10.74万元，全年共接待来访团组100个、来宾800人次主要是省公安厅、益阳市公安局及周边县局因检查指导学习工作发生的接待支出。</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cstheme="minorBidi"/>
          <w:color w:val="auto"/>
          <w:kern w:val="2"/>
          <w:sz w:val="32"/>
          <w:szCs w:val="32"/>
          <w:lang w:val="en-US" w:eastAsia="zh-CN" w:bidi="ar-SA"/>
        </w:rPr>
        <w:t>3、公务用车购置费及运行维护费支出决算为346.76万元，其中：公务用车购置费160.11万元，本级更新公务用车19辆。公务用车运行维护费186.65万元，主要是油费、修理费、保险费、过桥过路费、年检费、保养清洁费用支出，截止2022年12月31日，我单位开支财政拨款的公务用车保有量为64辆，全部为执勤执法用车。</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八、政府性基金预算收入支出决算情况</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val="en-US" w:eastAsia="zh-CN"/>
        </w:rPr>
        <w:t>年中追加预算。</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九、机关运行经费支出说明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w:t>
      </w:r>
      <w:r>
        <w:rPr>
          <w:rFonts w:hint="eastAsia" w:ascii="Times New Roman" w:hAnsi="Times New Roman" w:eastAsia="仿宋_GB2312"/>
          <w:sz w:val="32"/>
          <w:szCs w:val="32"/>
          <w:lang w:eastAsia="zh-CN"/>
        </w:rPr>
        <w:t>2022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774.61</w:t>
      </w:r>
      <w:r>
        <w:rPr>
          <w:rFonts w:hint="eastAsia" w:ascii="Times New Roman" w:hAnsi="Times New Roman" w:eastAsia="仿宋_GB2312"/>
          <w:sz w:val="32"/>
          <w:szCs w:val="32"/>
        </w:rPr>
        <w:t>万元，比上年决算数减少</w:t>
      </w:r>
      <w:r>
        <w:rPr>
          <w:rFonts w:hint="eastAsia" w:ascii="Times New Roman" w:hAnsi="Times New Roman" w:eastAsia="仿宋_GB2312"/>
          <w:sz w:val="32"/>
          <w:szCs w:val="32"/>
          <w:lang w:val="en-US" w:eastAsia="zh-CN"/>
        </w:rPr>
        <w:t>151.56</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16.36</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业务委托费和劳务费减少125万元</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十、一般性支出情况说明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4.09</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val="en-US" w:eastAsia="zh-CN"/>
        </w:rPr>
        <w:t>周例会、公安工作</w:t>
      </w:r>
      <w:r>
        <w:rPr>
          <w:rFonts w:hint="eastAsia" w:ascii="Times New Roman" w:hAnsi="Times New Roman" w:eastAsia="仿宋_GB2312"/>
          <w:sz w:val="32"/>
          <w:szCs w:val="32"/>
        </w:rPr>
        <w:t>会议</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民辅警会议和其他公安线上会议等</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4500</w:t>
      </w:r>
      <w:r>
        <w:rPr>
          <w:rFonts w:hint="eastAsia" w:ascii="Times New Roman" w:hAnsi="Times New Roman" w:eastAsia="仿宋_GB2312"/>
          <w:sz w:val="32"/>
          <w:szCs w:val="32"/>
        </w:rPr>
        <w:t>人；开支培训费</w:t>
      </w:r>
      <w:r>
        <w:rPr>
          <w:rFonts w:hint="eastAsia" w:ascii="Times New Roman" w:hAnsi="Times New Roman" w:eastAsia="仿宋_GB2312"/>
          <w:sz w:val="32"/>
          <w:szCs w:val="32"/>
          <w:lang w:val="en-US" w:eastAsia="zh-CN"/>
        </w:rPr>
        <w:t>11.11</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新警培训、警务培训、晋升</w:t>
      </w:r>
      <w:r>
        <w:rPr>
          <w:rFonts w:hint="eastAsia" w:ascii="Times New Roman" w:hAnsi="Times New Roman" w:eastAsia="仿宋_GB2312"/>
          <w:sz w:val="32"/>
          <w:szCs w:val="32"/>
        </w:rPr>
        <w:t>培训</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机关轮训等</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500</w:t>
      </w:r>
      <w:r>
        <w:rPr>
          <w:rFonts w:hint="eastAsia" w:ascii="Times New Roman" w:hAnsi="Times New Roman" w:eastAsia="仿宋_GB2312"/>
          <w:sz w:val="32"/>
          <w:szCs w:val="32"/>
        </w:rPr>
        <w:t>人；</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十一、政府采购支出说明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703.44</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366.75</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0.9</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335.79</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7.11</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7.11</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14.89</w:t>
      </w:r>
      <w:r>
        <w:rPr>
          <w:rFonts w:hint="eastAsia" w:ascii="Times New Roman" w:hAnsi="Times New Roman" w:eastAsia="仿宋_GB2312"/>
          <w:sz w:val="32"/>
          <w:szCs w:val="32"/>
        </w:rPr>
        <w:t>%。</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十二、国有资产占用情况说明</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64</w:t>
      </w:r>
      <w:r>
        <w:rPr>
          <w:rFonts w:hint="eastAsia" w:ascii="Times New Roman" w:hAnsi="Times New Roman" w:eastAsia="仿宋_GB2312"/>
          <w:sz w:val="32"/>
          <w:szCs w:val="32"/>
        </w:rPr>
        <w:t>辆，其中，执法执勤用车</w:t>
      </w:r>
      <w:r>
        <w:rPr>
          <w:rFonts w:hint="eastAsia" w:ascii="Times New Roman" w:hAnsi="Times New Roman" w:eastAsia="仿宋_GB2312"/>
          <w:sz w:val="32"/>
          <w:szCs w:val="32"/>
          <w:lang w:val="en-US" w:eastAsia="zh-CN"/>
        </w:rPr>
        <w:t>64</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台（套）。</w:t>
      </w:r>
    </w:p>
    <w:p>
      <w:pPr>
        <w:pStyle w:val="9"/>
        <w:keepNext w:val="0"/>
        <w:keepLines w:val="0"/>
        <w:pageBreakBefore w:val="0"/>
        <w:widowControl w:val="0"/>
        <w:kinsoku/>
        <w:wordWrap/>
        <w:overflowPunct/>
        <w:topLinePunct w:val="0"/>
        <w:bidi w:val="0"/>
        <w:snapToGrid/>
        <w:spacing w:line="600" w:lineRule="exact"/>
        <w:ind w:firstLine="640" w:firstLineChars="200"/>
        <w:textAlignment w:val="auto"/>
        <w:rPr>
          <w:rFonts w:hint="eastAsia" w:hAnsi="黑体"/>
          <w:b w:val="0"/>
          <w:bCs/>
          <w:sz w:val="32"/>
          <w:szCs w:val="32"/>
        </w:rPr>
      </w:pPr>
      <w:r>
        <w:rPr>
          <w:rFonts w:hint="eastAsia" w:hAnsi="黑体"/>
          <w:b w:val="0"/>
          <w:bCs/>
          <w:sz w:val="32"/>
          <w:szCs w:val="32"/>
        </w:rPr>
        <w:t>十三、</w:t>
      </w:r>
      <w:r>
        <w:rPr>
          <w:rFonts w:hint="eastAsia" w:hAnsi="黑体"/>
          <w:b w:val="0"/>
          <w:bCs/>
          <w:sz w:val="32"/>
          <w:szCs w:val="32"/>
          <w:lang w:eastAsia="zh-CN"/>
        </w:rPr>
        <w:t>2022</w:t>
      </w:r>
      <w:r>
        <w:rPr>
          <w:rFonts w:hint="eastAsia" w:hAnsi="黑体"/>
          <w:b w:val="0"/>
          <w:bCs/>
          <w:sz w:val="32"/>
          <w:szCs w:val="32"/>
        </w:rPr>
        <w:t>年度预算绩效情况说明</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cs="黑体" w:asciiTheme="minorEastAsia" w:hAnsiTheme="minorEastAsia"/>
          <w:b/>
          <w:color w:val="000000"/>
          <w:kern w:val="0"/>
          <w:sz w:val="32"/>
          <w:szCs w:val="32"/>
        </w:rPr>
        <w:t>（</w:t>
      </w:r>
      <w:r>
        <w:rPr>
          <w:rFonts w:hint="eastAsia" w:ascii="楷体" w:hAnsi="楷体" w:eastAsia="楷体" w:cs="楷体"/>
          <w:b/>
          <w:bCs/>
          <w:sz w:val="32"/>
          <w:szCs w:val="32"/>
          <w:lang w:eastAsia="zh-CN"/>
        </w:rPr>
        <w:t>一）</w:t>
      </w:r>
      <w:r>
        <w:rPr>
          <w:rFonts w:hint="eastAsia" w:ascii="仿宋_GB2312" w:hAnsi="仿宋_GB2312" w:eastAsia="仿宋_GB2312" w:cs="仿宋_GB2312"/>
          <w:b/>
          <w:bCs/>
          <w:sz w:val="32"/>
          <w:szCs w:val="32"/>
        </w:rPr>
        <w:t>部门整体</w:t>
      </w:r>
      <w:r>
        <w:rPr>
          <w:rFonts w:hint="eastAsia" w:ascii="楷体" w:hAnsi="楷体" w:eastAsia="楷体" w:cs="楷体"/>
          <w:b/>
          <w:bCs/>
          <w:sz w:val="32"/>
          <w:szCs w:val="32"/>
        </w:rPr>
        <w:t>支出绩效情况</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根据预算绩效管理要求，我部门组织对2022 年度一般公共预算项目支出全面开展绩效自评，其中，一级项目12个，共涉及资金4270.50万元，占一般公共预算项目支出总额的100%。总的来说，我局全体干部职工积极履职、扎实工作，基本达成总体绩效目标，科技强警，破案率提高，社会治安良好。</w:t>
      </w:r>
    </w:p>
    <w:p>
      <w:pPr>
        <w:pStyle w:val="9"/>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存在的问题及原因分析</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办案经费项目中电信诈骗刑拘人数未达到预算支出绩效标准，年度指标值为431名，实际达成390名，我局将继续加大电诈类案件的侦办力度。</w:t>
      </w:r>
    </w:p>
    <w:p>
      <w:pPr>
        <w:autoSpaceDE w:val="0"/>
        <w:autoSpaceDN w:val="0"/>
        <w:adjustRightInd w:val="0"/>
        <w:ind w:firstLine="640" w:firstLineChars="200"/>
        <w:jc w:val="left"/>
        <w:rPr>
          <w:rFonts w:hint="eastAsia" w:ascii="Times New Roman" w:hAnsi="Times New Roman" w:eastAsia="仿宋_GB2312" w:cs="黑体"/>
          <w:color w:val="000000"/>
          <w:kern w:val="0"/>
          <w:sz w:val="32"/>
          <w:szCs w:val="32"/>
          <w:lang w:val="en-US" w:eastAsia="zh-CN" w:bidi="ar-SA"/>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rFonts w:hint="eastAsia"/>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cs="黑体" w:asciiTheme="minorEastAsia" w:hAnsiTheme="minorEastAsia"/>
          <w:color w:val="000000"/>
          <w:kern w:val="0"/>
          <w:sz w:val="32"/>
          <w:szCs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lZWVkYTMxZjY1NGQwZjg5NDdhZTU2OGEzYjE0MWU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3E61E2"/>
    <w:rsid w:val="03060C74"/>
    <w:rsid w:val="05812B41"/>
    <w:rsid w:val="083640B7"/>
    <w:rsid w:val="08DD60E0"/>
    <w:rsid w:val="0A717628"/>
    <w:rsid w:val="0D766D04"/>
    <w:rsid w:val="0F8B4D0B"/>
    <w:rsid w:val="11826EDE"/>
    <w:rsid w:val="11E239D1"/>
    <w:rsid w:val="17C50FB3"/>
    <w:rsid w:val="186A4456"/>
    <w:rsid w:val="18E12F05"/>
    <w:rsid w:val="18F25DD8"/>
    <w:rsid w:val="195048A6"/>
    <w:rsid w:val="1AB8095B"/>
    <w:rsid w:val="1C703530"/>
    <w:rsid w:val="1D905BC0"/>
    <w:rsid w:val="1ECC70CB"/>
    <w:rsid w:val="1F2B5BA0"/>
    <w:rsid w:val="1FF468DA"/>
    <w:rsid w:val="211865F8"/>
    <w:rsid w:val="21325A4B"/>
    <w:rsid w:val="221D798C"/>
    <w:rsid w:val="225F78FB"/>
    <w:rsid w:val="233C481F"/>
    <w:rsid w:val="23621DAC"/>
    <w:rsid w:val="28697739"/>
    <w:rsid w:val="2A377AEF"/>
    <w:rsid w:val="2B7B3A0B"/>
    <w:rsid w:val="2BBA09D7"/>
    <w:rsid w:val="2CA945A8"/>
    <w:rsid w:val="2E4E753A"/>
    <w:rsid w:val="2E954DE4"/>
    <w:rsid w:val="2FF62EF3"/>
    <w:rsid w:val="300A1801"/>
    <w:rsid w:val="31360382"/>
    <w:rsid w:val="31F34429"/>
    <w:rsid w:val="35142EDA"/>
    <w:rsid w:val="373A5C4D"/>
    <w:rsid w:val="38CF5396"/>
    <w:rsid w:val="3AB4121B"/>
    <w:rsid w:val="3B1D688D"/>
    <w:rsid w:val="3C5502A8"/>
    <w:rsid w:val="3CDB255C"/>
    <w:rsid w:val="3CF274BE"/>
    <w:rsid w:val="3FDB2873"/>
    <w:rsid w:val="403027DE"/>
    <w:rsid w:val="40D304EF"/>
    <w:rsid w:val="446B4FA9"/>
    <w:rsid w:val="467224C3"/>
    <w:rsid w:val="4901159C"/>
    <w:rsid w:val="4ABD70AF"/>
    <w:rsid w:val="4C7327B1"/>
    <w:rsid w:val="4D74458A"/>
    <w:rsid w:val="4DC66910"/>
    <w:rsid w:val="4F3501F1"/>
    <w:rsid w:val="514A7858"/>
    <w:rsid w:val="53FC5EF5"/>
    <w:rsid w:val="54E63D3C"/>
    <w:rsid w:val="55A439DB"/>
    <w:rsid w:val="56064695"/>
    <w:rsid w:val="58D77C23"/>
    <w:rsid w:val="5ABB5323"/>
    <w:rsid w:val="5C981DBF"/>
    <w:rsid w:val="5E451AD3"/>
    <w:rsid w:val="5E874207"/>
    <w:rsid w:val="5FE13A7D"/>
    <w:rsid w:val="60593313"/>
    <w:rsid w:val="61ED6709"/>
    <w:rsid w:val="620121B5"/>
    <w:rsid w:val="624A590A"/>
    <w:rsid w:val="66E53E53"/>
    <w:rsid w:val="681A7B2C"/>
    <w:rsid w:val="68BE495C"/>
    <w:rsid w:val="69872FA0"/>
    <w:rsid w:val="6A667059"/>
    <w:rsid w:val="6B923E7E"/>
    <w:rsid w:val="6E8403F6"/>
    <w:rsid w:val="704E4817"/>
    <w:rsid w:val="707A385E"/>
    <w:rsid w:val="71E03B95"/>
    <w:rsid w:val="71FA3967"/>
    <w:rsid w:val="7443665D"/>
    <w:rsid w:val="763149BF"/>
    <w:rsid w:val="79907C4E"/>
    <w:rsid w:val="7B6A2721"/>
    <w:rsid w:val="7E3A7A1C"/>
    <w:rsid w:val="7F1430D0"/>
    <w:rsid w:val="7F622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5134</Words>
  <Characters>5755</Characters>
  <Lines>69</Lines>
  <Paragraphs>19</Paragraphs>
  <TotalTime>966</TotalTime>
  <ScaleCrop>false</ScaleCrop>
  <LinksUpToDate>false</LinksUpToDate>
  <CharactersWithSpaces>5797</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人生</cp:lastModifiedBy>
  <cp:lastPrinted>2023-09-06T00:46:04Z</cp:lastPrinted>
  <dcterms:modified xsi:type="dcterms:W3CDTF">2023-09-06T00:47:28Z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7ADD3553F54E4C2587767CB18A56100B_13</vt:lpwstr>
  </property>
</Properties>
</file>