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 w:lineRule="exact"/>
        <w:rPr>
          <w:rFonts w:ascii="方正小标宋简体" w:hAnsi="宋体" w:eastAsia="方正小标宋简体" w:cs="新宋体"/>
          <w:color w:val="000000"/>
          <w:sz w:val="44"/>
          <w:szCs w:val="44"/>
          <w:u w:val="none"/>
        </w:rPr>
      </w:pPr>
      <w:r>
        <w:rPr>
          <w:rFonts w:ascii="方正小标宋简体" w:hAnsi="宋体" w:eastAsia="方正小标宋简体" w:cs="新宋体"/>
          <w:color w:val="000000"/>
          <w:sz w:val="44"/>
          <w:szCs w:val="44"/>
          <w:u w:val="none"/>
        </w:rPr>
        <w:t xml:space="preserve">                                       </w:t>
      </w:r>
    </w:p>
    <w:p>
      <w:pPr>
        <w:spacing w:line="600" w:lineRule="exact"/>
        <w:jc w:val="center"/>
        <w:rPr>
          <w:rFonts w:ascii="方正小标宋简体" w:eastAsia="方正小标宋简体" w:cs="新宋体"/>
          <w:color w:val="000000"/>
          <w:sz w:val="44"/>
          <w:szCs w:val="44"/>
          <w:u w:val="none"/>
        </w:rPr>
      </w:pPr>
      <w:r>
        <w:rPr>
          <w:rFonts w:hint="eastAsia" w:ascii="方正小标宋简体" w:hAnsi="宋体" w:eastAsia="方正小标宋简体" w:cs="新宋体"/>
          <w:color w:val="000000"/>
          <w:sz w:val="44"/>
          <w:szCs w:val="44"/>
          <w:u w:val="none"/>
        </w:rPr>
        <w:t>益阳市不可移动文物保护办法</w:t>
      </w:r>
    </w:p>
    <w:p>
      <w:pPr>
        <w:spacing w:line="600" w:lineRule="exact"/>
        <w:rPr>
          <w:rFonts w:ascii="仿宋_GB2312" w:hAnsi="新宋体" w:eastAsia="仿宋_GB2312" w:cs="新宋体"/>
          <w:color w:val="000000"/>
          <w:sz w:val="32"/>
          <w:szCs w:val="32"/>
          <w:u w:val="none"/>
        </w:rPr>
      </w:pP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第一条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为加强对不可移动文物的保护与管理，规范不可移动文物的合理利用，继承优秀历史文化遗产，弘扬地域文化特色，根据《中华人民共和国文物保护法》等法律法规，结合我市实际，制定本办法。</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第二条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本市行政区域内不可移动文物的保护、管理和利用工作，适用本办法。</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第三条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本办法所称不可移动文物，是指被县级以上人民政府核定公布的文物保护单位，以及依法登记的尚未被核定公布为文物保护单位的不可移动文物，包括古文化遗址、古墓葬、古建筑、石窟寺、石刻、壁画、近代现代重要史迹和代表性建筑等。</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第四条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不可移动文物保护遵循政府主导、部门协作、社会参与、合理利用的原则。</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第五条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市、区县（市）及乡镇人民政府（街道办事处）负责本行政区域内不可移动文物保护工作。</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市、区县（市）文物行政主管部门对本行政区域内不可移动文物保护实施监督管理。</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市、区县（市）人民政府（管委会）规划、住房城乡建设、国土资源、公安、财政、教育、旅游、宗教、消防等部门在各自职责范围内负责有关的不可移动文物保护工作。</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第六条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本市行政区域内不可移动文物保护工作纳入各级领导责任制内容，并纳入各级政府目标管理考核。</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健全市、区县（市）、乡镇（街道）、村（社区）四级不可移动文物安全管理网络，逐级落实文物安全责任。</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建立不可移动文物保护员制度，推行政府购买文物保护服务，逐处落实文物安全责任单位或责任人。</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bCs/>
          <w:color w:val="000000"/>
          <w:sz w:val="32"/>
          <w:szCs w:val="32"/>
          <w:u w:val="none"/>
        </w:rPr>
        <w:t>第七条</w:t>
      </w:r>
      <w:r>
        <w:rPr>
          <w:rFonts w:ascii="仿宋_GB2312" w:hAnsi="新宋体" w:eastAsia="仿宋_GB2312" w:cs="新宋体"/>
          <w:color w:val="000000"/>
          <w:sz w:val="32"/>
          <w:szCs w:val="32"/>
          <w:u w:val="none"/>
        </w:rPr>
        <w:t xml:space="preserve"> </w:t>
      </w:r>
      <w:r>
        <w:rPr>
          <w:rFonts w:ascii="仿宋_GB2312" w:hAnsi="新宋体" w:eastAsia="仿宋_GB2312" w:cs="新宋体"/>
          <w:bCs/>
          <w:color w:val="000000"/>
          <w:sz w:val="32"/>
          <w:szCs w:val="32"/>
          <w:u w:val="none"/>
        </w:rPr>
        <w:t xml:space="preserve"> </w:t>
      </w:r>
      <w:r>
        <w:rPr>
          <w:rFonts w:hint="eastAsia" w:ascii="仿宋_GB2312" w:hAnsi="新宋体" w:eastAsia="仿宋_GB2312" w:cs="新宋体"/>
          <w:color w:val="000000"/>
          <w:sz w:val="32"/>
          <w:szCs w:val="32"/>
          <w:u w:val="none"/>
        </w:rPr>
        <w:t>市、区县（市）人民政府（管委会）应当将不可移动文物保护事业纳入本级国民经济和社会发展规划，所需不可移动文物保护经费列入本级财政预算，并随财政收入的增长而增加。</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不可移动文物安全管理专项资金列入市、区县（市）财政预算，专项用于不可移动文物安全设施维护和文物保护员工资。</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不可移动文物保护单位的事业性收入和社会捐赠专门用于不可移动文物保护，任何单位和个人不得侵占、挪用。</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第八条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文物行政主管部门应当会同教育、科技、网信、新闻出版、广播电视等部门单位，共同做好不可移动文物保护的宣传教育工作。</w:t>
      </w:r>
      <w:r>
        <w:rPr>
          <w:rFonts w:ascii="仿宋_GB2312" w:hAnsi="新宋体" w:eastAsia="仿宋_GB2312" w:cs="新宋体"/>
          <w:color w:val="000000"/>
          <w:sz w:val="32"/>
          <w:szCs w:val="32"/>
          <w:u w:val="none"/>
        </w:rPr>
        <w:t xml:space="preserve"> </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第九条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任何单位和个人都有保护不可移动文物的义务，有权制止、举报破坏、损害不可移动文物及其保护标志的行为。</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鼓励群众性组织、个人参与不可移动文物保护活动。市、区县（市）人民政府（管委会）对不可移动文物保护工作做出突出贡献的单位和个人给予表彰和奖励。</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第十条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strike w:val="0"/>
          <w:dstrike w:val="0"/>
          <w:color w:val="000000" w:themeColor="text1"/>
          <w:sz w:val="32"/>
          <w:szCs w:val="32"/>
          <w:u w:val="none"/>
          <w:lang w:eastAsia="zh-CN"/>
        </w:rPr>
        <w:t>“市”</w:t>
      </w:r>
      <w:r>
        <w:rPr>
          <w:rFonts w:hint="eastAsia" w:ascii="仿宋_GB2312" w:hAnsi="新宋体" w:eastAsia="仿宋_GB2312" w:cs="新宋体"/>
          <w:strike w:val="0"/>
          <w:color w:val="000000" w:themeColor="text1"/>
          <w:sz w:val="32"/>
          <w:szCs w:val="32"/>
          <w:u w:val="none"/>
          <w:lang w:eastAsia="zh-CN"/>
        </w:rPr>
        <w:t>、</w:t>
      </w:r>
      <w:r>
        <w:rPr>
          <w:rFonts w:hint="eastAsia" w:ascii="仿宋_GB2312" w:hAnsi="新宋体" w:eastAsia="仿宋_GB2312" w:cs="新宋体"/>
          <w:strike w:val="0"/>
          <w:color w:val="000000" w:themeColor="text1"/>
          <w:sz w:val="32"/>
          <w:szCs w:val="32"/>
          <w:u w:val="none"/>
        </w:rPr>
        <w:t>区</w:t>
      </w:r>
      <w:r>
        <w:rPr>
          <w:rFonts w:hint="eastAsia" w:ascii="仿宋_GB2312" w:hAnsi="新宋体" w:eastAsia="仿宋_GB2312" w:cs="新宋体"/>
          <w:color w:val="000000"/>
          <w:sz w:val="32"/>
          <w:szCs w:val="32"/>
          <w:u w:val="none"/>
        </w:rPr>
        <w:t>县（市）文物行政主管部门应当依法开展对各类不可移动文物的认定、登记和公布工作，制定各类不可移动文物的具体保护措施并公告施行。</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市、区县（市）人民政府（管委会）</w:t>
      </w:r>
      <w:r>
        <w:rPr>
          <w:rFonts w:hint="eastAsia" w:ascii="仿宋_GB2312" w:hAnsi="新宋体" w:eastAsia="仿宋_GB2312" w:cs="新宋体"/>
          <w:color w:val="000000" w:themeColor="text1"/>
          <w:sz w:val="32"/>
          <w:szCs w:val="32"/>
          <w:u w:val="none"/>
        </w:rPr>
        <w:t>应当依法</w:t>
      </w:r>
      <w:r>
        <w:rPr>
          <w:rFonts w:hint="eastAsia" w:ascii="仿宋_GB2312" w:hAnsi="新宋体" w:eastAsia="仿宋_GB2312" w:cs="新宋体"/>
          <w:color w:val="000000" w:themeColor="text1"/>
          <w:sz w:val="32"/>
          <w:szCs w:val="32"/>
          <w:u w:val="none"/>
          <w:lang w:eastAsia="zh-CN"/>
        </w:rPr>
        <w:t>对文</w:t>
      </w:r>
      <w:r>
        <w:rPr>
          <w:rFonts w:hint="eastAsia" w:ascii="仿宋_GB2312" w:hAnsi="新宋体" w:eastAsia="仿宋_GB2312" w:cs="新宋体"/>
          <w:color w:val="000000"/>
          <w:sz w:val="32"/>
          <w:szCs w:val="32"/>
          <w:u w:val="none"/>
          <w:lang w:eastAsia="zh-CN"/>
        </w:rPr>
        <w:t>物保护单位划定必要的保护范围、建设控制地带，作出标志说</w:t>
      </w:r>
      <w:r>
        <w:rPr>
          <w:rFonts w:hint="eastAsia" w:ascii="仿宋_GB2312" w:hAnsi="新宋体" w:eastAsia="仿宋_GB2312" w:cs="新宋体"/>
          <w:color w:val="000000"/>
          <w:sz w:val="32"/>
          <w:szCs w:val="32"/>
          <w:u w:val="none"/>
        </w:rPr>
        <w:t>明，建立记录档案，并设置专门机构或者安排专人负责管理。</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第十一条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市、区县（市）文物行政主管部门应当将本行政区域内的文物保护单位名录、保护级别、保护范围、建设控制地带、管理机构（管理人）以及保护规划、保护措施等信息在本级政府网站公布，并及时更新。</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第十二条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文物行政主管部门应当根据不可移动文物保护的需要，会同本级城乡规划建设部门制定全域性文物保护单位保护规划，并商定对各级文物保护单位和地下文物埋藏区的保护措施，将文物保护单位的保护范围、建设控制地带以及文物埋藏区等纳入城市控制性详细规划。</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第十三条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对保存文物特别丰富且具有重大历史价值或者革命纪念意义的城镇、街道、村庄，城乡规划建设部门应当会同本级文物行政主管部门进行调查和初步论证。符合条件的，依法申报历史文化名城或街区、名镇、名村。</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第十四条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市、区县（市）人民政府（管委会）应当组织编制本行政区域内历史文化名城、街区、村镇保护规划，并将其纳入城市总体规划。</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编制历史文化名城、街区、村镇保护规划，应当突出对文物的建筑布局、环境和历史风貌等要素的保护。</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第十五条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工程建设项目涉及不可移动文物保护的，相关规划例会应当通知文物行政主管部门参加；规划部门在核发选址意见书、建设用地规划许可证、乡村建设规划许可证前，应当审查建设单位是否依法取得文物行政主管部门的同意和有权批准的人民政府的批准。</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工程建设项目涉及不可移动文物保护的，住房</w:t>
      </w:r>
      <w:r>
        <w:rPr>
          <w:rFonts w:hint="eastAsia" w:ascii="仿宋_GB2312" w:hAnsi="新宋体" w:eastAsia="仿宋_GB2312" w:cs="新宋体"/>
          <w:color w:val="000000"/>
          <w:sz w:val="32"/>
          <w:szCs w:val="32"/>
          <w:u w:val="none"/>
          <w:lang w:eastAsia="zh-CN"/>
        </w:rPr>
        <w:t>和</w:t>
      </w:r>
      <w:bookmarkStart w:id="0" w:name="_GoBack"/>
      <w:bookmarkEnd w:id="0"/>
      <w:r>
        <w:rPr>
          <w:rFonts w:hint="eastAsia" w:ascii="仿宋_GB2312" w:hAnsi="新宋体" w:eastAsia="仿宋_GB2312" w:cs="新宋体"/>
          <w:color w:val="000000"/>
          <w:sz w:val="32"/>
          <w:szCs w:val="32"/>
          <w:u w:val="none"/>
        </w:rPr>
        <w:t>城乡建设部门在核发施工许可证前，应当依法要求建设单位提供文物行政主管部门出具的文化遗产保护评估意见书。</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建设施工单位在施工中发现文物，应当立即停止施工并及时报告文物行政主管部门。文物行政主管部门接到报告后，应当在二十四小时</w:t>
      </w:r>
      <w:r>
        <w:rPr>
          <w:rFonts w:hint="eastAsia" w:ascii="仿宋_GB2312" w:hAnsi="新宋体" w:eastAsia="仿宋_GB2312" w:cs="新宋体"/>
          <w:color w:val="000000" w:themeColor="text1"/>
          <w:sz w:val="32"/>
          <w:szCs w:val="32"/>
          <w:u w:val="none"/>
        </w:rPr>
        <w:t>内达到</w:t>
      </w:r>
      <w:r>
        <w:rPr>
          <w:rFonts w:hint="eastAsia" w:ascii="仿宋_GB2312" w:hAnsi="新宋体" w:eastAsia="仿宋_GB2312" w:cs="新宋体"/>
          <w:color w:val="000000"/>
          <w:sz w:val="32"/>
          <w:szCs w:val="32"/>
          <w:u w:val="none"/>
        </w:rPr>
        <w:t>现场，并在三日内提出处理意见。</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第十六条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文物保护单位的保护范围和建设控制地带内，不得建设危害文物保护单位安全或者污染文物保护单位及其环境的设施。对已有的安全危害或污染设施，当地人民政府应当责令限期治理。</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第十七条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房屋征收拆迁主管部门、土地管理部门在征收拆迁公告发布前，应当就征收拆迁范围内的不可移动文物保护事项征求文物行政主管部门的意见。</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土地管理部门在土地开发、整理、复垦项目立项前，应当就开发、整理、复垦范围内的不可移动文物保护事项征求文物行政主管部门的意见。</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土地管理部门在土地出让前，应当就出让范围内涉及地下文物埋藏区的保护事项征求文物行政主管部门的意见。</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第十八条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对文物保护单位进行修缮，应当报相应文物行政主管部门批准。对未核定为文物保护单位的不可移动文物进行修缮，报县级文物行政主管部门批准。</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无法实施原址保护，必须迁移异地保护或者拆除文物保护单位的，应当报省人民政府批准。全国重点文物保护单位不得拆除；需要迁移的，须提请省人民政府报国务院批准。</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尚未核定公布为文物保护单位的不可移动文物，因建设工程特殊需要必须迁移易地保护或者拆除的，文物行政主管部门应当组织专家进行必要性和可行性论证评估，将相关情况向社会公示，并经市文物行政主管部门同意后，报县级人民政府批准。</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第十九条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开放、利用不可移动文物，应当符合下列条件：</w:t>
      </w:r>
    </w:p>
    <w:p>
      <w:pPr>
        <w:widowControl/>
        <w:shd w:val="clear" w:color="auto" w:fill="FFFFFF"/>
        <w:spacing w:line="600" w:lineRule="exact"/>
        <w:ind w:firstLine="482"/>
        <w:jc w:val="left"/>
        <w:rPr>
          <w:rFonts w:ascii="仿宋_GB2312" w:hAnsi="新宋体" w:eastAsia="仿宋_GB2312" w:cs="Arial"/>
          <w:color w:val="000000"/>
          <w:kern w:val="0"/>
          <w:sz w:val="32"/>
          <w:szCs w:val="32"/>
          <w:u w:val="none"/>
        </w:rPr>
      </w:pPr>
      <w:r>
        <w:rPr>
          <w:rFonts w:hint="eastAsia" w:ascii="仿宋_GB2312" w:hAnsi="新宋体" w:eastAsia="仿宋_GB2312" w:cs="Arial"/>
          <w:color w:val="000000"/>
          <w:kern w:val="0"/>
          <w:sz w:val="32"/>
          <w:szCs w:val="32"/>
          <w:u w:val="none"/>
        </w:rPr>
        <w:t>（一）对文物及历史风貌不造成损害；</w:t>
      </w:r>
    </w:p>
    <w:p>
      <w:pPr>
        <w:widowControl/>
        <w:shd w:val="clear" w:color="auto" w:fill="FFFFFF"/>
        <w:spacing w:line="600" w:lineRule="exact"/>
        <w:ind w:firstLine="482"/>
        <w:jc w:val="left"/>
        <w:rPr>
          <w:rFonts w:ascii="仿宋_GB2312" w:hAnsi="新宋体" w:eastAsia="仿宋_GB2312" w:cs="Arial"/>
          <w:color w:val="000000"/>
          <w:kern w:val="0"/>
          <w:sz w:val="32"/>
          <w:szCs w:val="32"/>
          <w:u w:val="none"/>
        </w:rPr>
      </w:pPr>
      <w:r>
        <w:rPr>
          <w:rFonts w:hint="eastAsia" w:ascii="仿宋_GB2312" w:hAnsi="新宋体" w:eastAsia="仿宋_GB2312" w:cs="Arial"/>
          <w:color w:val="000000"/>
          <w:kern w:val="0"/>
          <w:sz w:val="32"/>
          <w:szCs w:val="32"/>
          <w:u w:val="none"/>
        </w:rPr>
        <w:t>（二）有合法的管理机构和人员；</w:t>
      </w:r>
    </w:p>
    <w:p>
      <w:pPr>
        <w:widowControl/>
        <w:shd w:val="clear" w:color="auto" w:fill="FFFFFF"/>
        <w:spacing w:line="600" w:lineRule="exact"/>
        <w:ind w:firstLine="482"/>
        <w:jc w:val="left"/>
        <w:rPr>
          <w:rFonts w:ascii="仿宋_GB2312" w:hAnsi="新宋体" w:eastAsia="仿宋_GB2312" w:cs="Arial"/>
          <w:color w:val="000000"/>
          <w:kern w:val="0"/>
          <w:sz w:val="32"/>
          <w:szCs w:val="32"/>
          <w:u w:val="none"/>
        </w:rPr>
      </w:pPr>
      <w:r>
        <w:rPr>
          <w:rFonts w:hint="eastAsia" w:ascii="仿宋_GB2312" w:hAnsi="新宋体" w:eastAsia="仿宋_GB2312" w:cs="Arial"/>
          <w:color w:val="000000"/>
          <w:kern w:val="0"/>
          <w:sz w:val="32"/>
          <w:szCs w:val="32"/>
          <w:u w:val="none"/>
        </w:rPr>
        <w:t>（三）已划定保护范围和建设控制地带，设立标志说明；</w:t>
      </w:r>
    </w:p>
    <w:p>
      <w:pPr>
        <w:widowControl/>
        <w:shd w:val="clear" w:color="auto" w:fill="FFFFFF"/>
        <w:spacing w:line="600" w:lineRule="exact"/>
        <w:ind w:firstLine="482"/>
        <w:jc w:val="left"/>
        <w:rPr>
          <w:rFonts w:ascii="仿宋_GB2312" w:hAnsi="新宋体" w:eastAsia="仿宋_GB2312" w:cs="Arial"/>
          <w:color w:val="000000"/>
          <w:kern w:val="0"/>
          <w:sz w:val="32"/>
          <w:szCs w:val="32"/>
          <w:u w:val="none"/>
        </w:rPr>
      </w:pPr>
      <w:r>
        <w:rPr>
          <w:rFonts w:hint="eastAsia" w:ascii="仿宋_GB2312" w:hAnsi="新宋体" w:eastAsia="仿宋_GB2312" w:cs="Arial"/>
          <w:color w:val="000000"/>
          <w:kern w:val="0"/>
          <w:sz w:val="32"/>
          <w:szCs w:val="32"/>
          <w:u w:val="none"/>
        </w:rPr>
        <w:t>（四）有健全的文物保护管理制度和财务管理制度；</w:t>
      </w:r>
    </w:p>
    <w:p>
      <w:pPr>
        <w:widowControl/>
        <w:shd w:val="clear" w:color="auto" w:fill="FFFFFF"/>
        <w:spacing w:line="600" w:lineRule="exact"/>
        <w:ind w:firstLine="482"/>
        <w:jc w:val="left"/>
        <w:rPr>
          <w:rFonts w:ascii="仿宋_GB2312" w:hAnsi="新宋体" w:eastAsia="仿宋_GB2312" w:cs="Arial"/>
          <w:color w:val="000000"/>
          <w:kern w:val="0"/>
          <w:sz w:val="32"/>
          <w:szCs w:val="32"/>
          <w:u w:val="none"/>
        </w:rPr>
      </w:pPr>
      <w:r>
        <w:rPr>
          <w:rFonts w:hint="eastAsia" w:ascii="仿宋_GB2312" w:hAnsi="新宋体" w:eastAsia="仿宋_GB2312" w:cs="Arial"/>
          <w:color w:val="000000"/>
          <w:kern w:val="0"/>
          <w:sz w:val="32"/>
          <w:szCs w:val="32"/>
          <w:u w:val="none"/>
        </w:rPr>
        <w:t>（五）安全消防设施达到国家规定的风险等级防护标准，安全状况适宜公众参观游览；</w:t>
      </w:r>
    </w:p>
    <w:p>
      <w:pPr>
        <w:widowControl/>
        <w:shd w:val="clear" w:color="auto" w:fill="FFFFFF"/>
        <w:spacing w:line="600" w:lineRule="exact"/>
        <w:ind w:firstLine="482"/>
        <w:jc w:val="left"/>
        <w:rPr>
          <w:rFonts w:ascii="仿宋_GB2312" w:hAnsi="新宋体" w:eastAsia="仿宋_GB2312" w:cs="Arial"/>
          <w:color w:val="000000"/>
          <w:kern w:val="0"/>
          <w:sz w:val="32"/>
          <w:szCs w:val="32"/>
          <w:u w:val="none"/>
        </w:rPr>
      </w:pPr>
      <w:r>
        <w:rPr>
          <w:rFonts w:hint="eastAsia" w:ascii="仿宋_GB2312" w:hAnsi="新宋体" w:eastAsia="仿宋_GB2312" w:cs="Arial"/>
          <w:color w:val="000000"/>
          <w:kern w:val="0"/>
          <w:sz w:val="32"/>
          <w:szCs w:val="32"/>
          <w:u w:val="none"/>
        </w:rPr>
        <w:t>（六）有复原陈列展览或者辅助陈列展览；</w:t>
      </w:r>
    </w:p>
    <w:p>
      <w:pPr>
        <w:widowControl/>
        <w:shd w:val="clear" w:color="auto" w:fill="FFFFFF"/>
        <w:spacing w:line="600" w:lineRule="exact"/>
        <w:ind w:firstLine="482"/>
        <w:jc w:val="left"/>
        <w:rPr>
          <w:rFonts w:ascii="仿宋_GB2312" w:hAnsi="新宋体" w:eastAsia="仿宋_GB2312" w:cs="Arial"/>
          <w:color w:val="000000"/>
          <w:kern w:val="0"/>
          <w:sz w:val="32"/>
          <w:szCs w:val="32"/>
          <w:u w:val="none"/>
        </w:rPr>
      </w:pPr>
      <w:r>
        <w:rPr>
          <w:rFonts w:hint="eastAsia" w:ascii="仿宋_GB2312" w:hAnsi="新宋体" w:eastAsia="仿宋_GB2312" w:cs="Arial"/>
          <w:color w:val="000000"/>
          <w:kern w:val="0"/>
          <w:sz w:val="32"/>
          <w:szCs w:val="32"/>
          <w:u w:val="none"/>
        </w:rPr>
        <w:t>（七）符合法律、法规、规章及国家有关规定。</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第二十条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市、区县（市）人民政府（管委会）应当组织制定文物保护单位开放利用规划，纳入本级旅游规划，鼓励支持开发旅游产品，完善公共配套设施。</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旅游部门根据文物保护单位开放利用规划，应当将开放利用的文物保护单位纳入旅游线路。</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第二十一条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从事旅游观光、宗教活动，举办大型公益活动，以及用其他方式使用、利用不可移动文物，应当确保文物安全，不得损毁、改建、添建或者拆除不可移动文物。</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第二十二条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国家工作人员违反本办法规定的，依法给予行政处分；构成犯罪的，依法追究刑事责任。</w:t>
      </w:r>
    </w:p>
    <w:p>
      <w:pPr>
        <w:spacing w:line="600" w:lineRule="exact"/>
        <w:ind w:firstLine="640" w:firstLineChars="200"/>
        <w:rPr>
          <w:rFonts w:ascii="仿宋_GB2312" w:hAnsi="新宋体" w:eastAsia="仿宋_GB2312" w:cs="新宋体"/>
          <w:color w:val="000000"/>
          <w:sz w:val="32"/>
          <w:szCs w:val="32"/>
          <w:u w:val="none"/>
        </w:rPr>
      </w:pPr>
      <w:r>
        <w:rPr>
          <w:rFonts w:hint="eastAsia" w:ascii="仿宋_GB2312" w:hAnsi="新宋体" w:eastAsia="仿宋_GB2312" w:cs="新宋体"/>
          <w:color w:val="000000"/>
          <w:sz w:val="32"/>
          <w:szCs w:val="32"/>
          <w:u w:val="none"/>
        </w:rPr>
        <w:t>公民、法人和其他组织违反本办法规定的，依照文物保护法律、法规、规章相关规定处理。</w:t>
      </w:r>
    </w:p>
    <w:p>
      <w:pPr>
        <w:spacing w:line="600" w:lineRule="exact"/>
        <w:ind w:firstLine="640" w:firstLineChars="200"/>
        <w:rPr>
          <w:rFonts w:eastAsia="仿宋_GB2312"/>
          <w:color w:val="000000"/>
          <w:kern w:val="0"/>
          <w:sz w:val="32"/>
          <w:szCs w:val="20"/>
          <w:u w:val="none"/>
        </w:rPr>
      </w:pPr>
      <w:r>
        <w:rPr>
          <w:rFonts w:hint="eastAsia" w:ascii="仿宋_GB2312" w:hAnsi="新宋体" w:eastAsia="仿宋_GB2312" w:cs="新宋体"/>
          <w:color w:val="000000"/>
          <w:sz w:val="32"/>
          <w:szCs w:val="32"/>
          <w:u w:val="none"/>
        </w:rPr>
        <w:t>第二十三条</w:t>
      </w:r>
      <w:r>
        <w:rPr>
          <w:rFonts w:ascii="仿宋_GB2312" w:hAnsi="新宋体" w:eastAsia="仿宋_GB2312" w:cs="新宋体"/>
          <w:color w:val="000000"/>
          <w:sz w:val="32"/>
          <w:szCs w:val="32"/>
          <w:u w:val="none"/>
        </w:rPr>
        <w:t xml:space="preserve">  </w:t>
      </w:r>
      <w:r>
        <w:rPr>
          <w:rFonts w:hint="eastAsia" w:ascii="仿宋_GB2312" w:hAnsi="新宋体" w:eastAsia="仿宋_GB2312" w:cs="新宋体"/>
          <w:color w:val="000000"/>
          <w:sz w:val="32"/>
          <w:szCs w:val="32"/>
          <w:u w:val="none"/>
        </w:rPr>
        <w:t>本办法自</w:t>
      </w:r>
      <w:r>
        <w:rPr>
          <w:rFonts w:ascii="仿宋_GB2312" w:hAnsi="新宋体" w:eastAsia="仿宋_GB2312" w:cs="新宋体"/>
          <w:color w:val="000000"/>
          <w:sz w:val="32"/>
          <w:szCs w:val="32"/>
          <w:u w:val="none"/>
        </w:rPr>
        <w:t>2018</w:t>
      </w:r>
      <w:r>
        <w:rPr>
          <w:rFonts w:hint="eastAsia" w:ascii="仿宋_GB2312" w:hAnsi="新宋体" w:eastAsia="仿宋_GB2312" w:cs="新宋体"/>
          <w:color w:val="000000"/>
          <w:sz w:val="32"/>
          <w:szCs w:val="32"/>
          <w:u w:val="none"/>
        </w:rPr>
        <w:t>年</w:t>
      </w:r>
      <w:r>
        <w:rPr>
          <w:rFonts w:ascii="仿宋_GB2312" w:hAnsi="新宋体" w:eastAsia="仿宋_GB2312" w:cs="新宋体"/>
          <w:color w:val="000000"/>
          <w:sz w:val="32"/>
          <w:szCs w:val="32"/>
          <w:u w:val="none"/>
        </w:rPr>
        <w:t>5</w:t>
      </w:r>
      <w:r>
        <w:rPr>
          <w:rFonts w:hint="eastAsia" w:ascii="仿宋_GB2312" w:hAnsi="新宋体" w:eastAsia="仿宋_GB2312" w:cs="新宋体"/>
          <w:color w:val="000000"/>
          <w:sz w:val="32"/>
          <w:szCs w:val="32"/>
          <w:u w:val="none"/>
        </w:rPr>
        <w:t>月</w:t>
      </w:r>
      <w:r>
        <w:rPr>
          <w:rFonts w:ascii="仿宋_GB2312" w:hAnsi="新宋体" w:eastAsia="仿宋_GB2312" w:cs="新宋体"/>
          <w:color w:val="000000"/>
          <w:sz w:val="32"/>
          <w:szCs w:val="32"/>
          <w:u w:val="none"/>
        </w:rPr>
        <w:t>1</w:t>
      </w:r>
      <w:r>
        <w:rPr>
          <w:rFonts w:hint="eastAsia" w:ascii="仿宋_GB2312" w:hAnsi="新宋体" w:eastAsia="仿宋_GB2312" w:cs="新宋体"/>
          <w:color w:val="000000"/>
          <w:sz w:val="32"/>
          <w:szCs w:val="32"/>
          <w:u w:val="none"/>
        </w:rPr>
        <w:t>日起施行。</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18" w:bottom="181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rPr>
        <w:rStyle w:val="10"/>
      </w:rPr>
      <w:fldChar w:fldCharType="begin"/>
    </w:r>
    <w:r>
      <w:rPr>
        <w:rStyle w:val="10"/>
      </w:rPr>
      <w:instrText xml:space="preserve">PAGE  </w:instrText>
    </w:r>
    <w:r>
      <w:rPr>
        <w:rStyle w:val="10"/>
      </w:rPr>
      <w:fldChar w:fldCharType="separate"/>
    </w:r>
    <w:r>
      <w:rPr>
        <w:rStyle w:val="10"/>
      </w:rPr>
      <w:t>4</w:t>
    </w:r>
    <w:r>
      <w:rPr>
        <w:rStyle w:val="10"/>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DkwYjk2NzUyZTI0NmRkZDY0NGZjNTkzYWE3NjNhM2UifQ=="/>
  </w:docVars>
  <w:rsids>
    <w:rsidRoot w:val="727A2715"/>
    <w:rsid w:val="00000EBB"/>
    <w:rsid w:val="0000228E"/>
    <w:rsid w:val="000111B0"/>
    <w:rsid w:val="00017A25"/>
    <w:rsid w:val="000248AD"/>
    <w:rsid w:val="00024D08"/>
    <w:rsid w:val="000276B7"/>
    <w:rsid w:val="00031AF1"/>
    <w:rsid w:val="00034313"/>
    <w:rsid w:val="000507F5"/>
    <w:rsid w:val="00054B74"/>
    <w:rsid w:val="00074DA6"/>
    <w:rsid w:val="00081C48"/>
    <w:rsid w:val="00082105"/>
    <w:rsid w:val="000967EA"/>
    <w:rsid w:val="000A5673"/>
    <w:rsid w:val="000D1635"/>
    <w:rsid w:val="000D3B72"/>
    <w:rsid w:val="000E2834"/>
    <w:rsid w:val="000E6BD2"/>
    <w:rsid w:val="000E769C"/>
    <w:rsid w:val="000F32E5"/>
    <w:rsid w:val="000F46AB"/>
    <w:rsid w:val="000F50C0"/>
    <w:rsid w:val="000F73AA"/>
    <w:rsid w:val="001063EF"/>
    <w:rsid w:val="00120B72"/>
    <w:rsid w:val="00133C8F"/>
    <w:rsid w:val="00135FFC"/>
    <w:rsid w:val="001436CA"/>
    <w:rsid w:val="001473E9"/>
    <w:rsid w:val="00162044"/>
    <w:rsid w:val="001650FF"/>
    <w:rsid w:val="0017134F"/>
    <w:rsid w:val="0017377F"/>
    <w:rsid w:val="00176296"/>
    <w:rsid w:val="00176E08"/>
    <w:rsid w:val="00181204"/>
    <w:rsid w:val="001971F8"/>
    <w:rsid w:val="001A17BD"/>
    <w:rsid w:val="001B065E"/>
    <w:rsid w:val="001B0D34"/>
    <w:rsid w:val="001B34EA"/>
    <w:rsid w:val="001B67C9"/>
    <w:rsid w:val="001C1942"/>
    <w:rsid w:val="001C5D0A"/>
    <w:rsid w:val="001D2F7C"/>
    <w:rsid w:val="00200CA1"/>
    <w:rsid w:val="00205F51"/>
    <w:rsid w:val="00211740"/>
    <w:rsid w:val="00230665"/>
    <w:rsid w:val="002440CE"/>
    <w:rsid w:val="0026283E"/>
    <w:rsid w:val="002670CA"/>
    <w:rsid w:val="00271005"/>
    <w:rsid w:val="00280683"/>
    <w:rsid w:val="002909A1"/>
    <w:rsid w:val="002919EE"/>
    <w:rsid w:val="002A12B2"/>
    <w:rsid w:val="002A2963"/>
    <w:rsid w:val="002A44A3"/>
    <w:rsid w:val="002B4BC7"/>
    <w:rsid w:val="002C0B85"/>
    <w:rsid w:val="002D6621"/>
    <w:rsid w:val="002F0983"/>
    <w:rsid w:val="002F4726"/>
    <w:rsid w:val="002F4EFA"/>
    <w:rsid w:val="002F61EF"/>
    <w:rsid w:val="002F6992"/>
    <w:rsid w:val="0031082D"/>
    <w:rsid w:val="003144C0"/>
    <w:rsid w:val="00325956"/>
    <w:rsid w:val="00334A26"/>
    <w:rsid w:val="00337EEA"/>
    <w:rsid w:val="00355B4E"/>
    <w:rsid w:val="00385E81"/>
    <w:rsid w:val="00386163"/>
    <w:rsid w:val="00390817"/>
    <w:rsid w:val="003A1D04"/>
    <w:rsid w:val="003C5C1D"/>
    <w:rsid w:val="003C6B41"/>
    <w:rsid w:val="003D117F"/>
    <w:rsid w:val="003D428F"/>
    <w:rsid w:val="003D4D76"/>
    <w:rsid w:val="003D5680"/>
    <w:rsid w:val="003D7020"/>
    <w:rsid w:val="003E4C7E"/>
    <w:rsid w:val="003F362A"/>
    <w:rsid w:val="003F603E"/>
    <w:rsid w:val="00403977"/>
    <w:rsid w:val="00405B66"/>
    <w:rsid w:val="0040734C"/>
    <w:rsid w:val="00411079"/>
    <w:rsid w:val="004143E5"/>
    <w:rsid w:val="00417B68"/>
    <w:rsid w:val="0042071C"/>
    <w:rsid w:val="004233E7"/>
    <w:rsid w:val="00425F63"/>
    <w:rsid w:val="00433D50"/>
    <w:rsid w:val="004455F4"/>
    <w:rsid w:val="00455281"/>
    <w:rsid w:val="00456C56"/>
    <w:rsid w:val="004643C2"/>
    <w:rsid w:val="00466C1B"/>
    <w:rsid w:val="004756C3"/>
    <w:rsid w:val="004824E7"/>
    <w:rsid w:val="00493505"/>
    <w:rsid w:val="00497098"/>
    <w:rsid w:val="004A0BD5"/>
    <w:rsid w:val="004A3EA7"/>
    <w:rsid w:val="004A6B60"/>
    <w:rsid w:val="004B07C2"/>
    <w:rsid w:val="004B1921"/>
    <w:rsid w:val="004D118F"/>
    <w:rsid w:val="004F7399"/>
    <w:rsid w:val="00517A15"/>
    <w:rsid w:val="00527EF2"/>
    <w:rsid w:val="00531106"/>
    <w:rsid w:val="00540990"/>
    <w:rsid w:val="00546686"/>
    <w:rsid w:val="00566520"/>
    <w:rsid w:val="0057761A"/>
    <w:rsid w:val="005846F0"/>
    <w:rsid w:val="005863A2"/>
    <w:rsid w:val="00590884"/>
    <w:rsid w:val="0059272B"/>
    <w:rsid w:val="00593323"/>
    <w:rsid w:val="005A0455"/>
    <w:rsid w:val="005A2460"/>
    <w:rsid w:val="005B3855"/>
    <w:rsid w:val="005B55F9"/>
    <w:rsid w:val="005B5A4E"/>
    <w:rsid w:val="005B6243"/>
    <w:rsid w:val="005D36EB"/>
    <w:rsid w:val="005E1CCC"/>
    <w:rsid w:val="005F2D62"/>
    <w:rsid w:val="005F6311"/>
    <w:rsid w:val="006045A3"/>
    <w:rsid w:val="00607CC9"/>
    <w:rsid w:val="0061467C"/>
    <w:rsid w:val="00616C51"/>
    <w:rsid w:val="00624886"/>
    <w:rsid w:val="00625821"/>
    <w:rsid w:val="00626FDB"/>
    <w:rsid w:val="006275E4"/>
    <w:rsid w:val="00642B65"/>
    <w:rsid w:val="00646728"/>
    <w:rsid w:val="00646F7A"/>
    <w:rsid w:val="0066036A"/>
    <w:rsid w:val="006621A3"/>
    <w:rsid w:val="006639C4"/>
    <w:rsid w:val="00665B3A"/>
    <w:rsid w:val="006673DA"/>
    <w:rsid w:val="00670336"/>
    <w:rsid w:val="006A5898"/>
    <w:rsid w:val="006A5BB0"/>
    <w:rsid w:val="006A6036"/>
    <w:rsid w:val="006B1ACB"/>
    <w:rsid w:val="006C0A87"/>
    <w:rsid w:val="006C1B6F"/>
    <w:rsid w:val="006C31B2"/>
    <w:rsid w:val="006D1330"/>
    <w:rsid w:val="006D137E"/>
    <w:rsid w:val="006D5B5A"/>
    <w:rsid w:val="006D5EC9"/>
    <w:rsid w:val="006D75B7"/>
    <w:rsid w:val="006E2E71"/>
    <w:rsid w:val="006E489B"/>
    <w:rsid w:val="006F2B4E"/>
    <w:rsid w:val="00704500"/>
    <w:rsid w:val="00714D79"/>
    <w:rsid w:val="00716CB7"/>
    <w:rsid w:val="00741695"/>
    <w:rsid w:val="00743963"/>
    <w:rsid w:val="0074675A"/>
    <w:rsid w:val="007467F0"/>
    <w:rsid w:val="00750BA8"/>
    <w:rsid w:val="007714E5"/>
    <w:rsid w:val="00772469"/>
    <w:rsid w:val="00773F2C"/>
    <w:rsid w:val="00790D35"/>
    <w:rsid w:val="00791C41"/>
    <w:rsid w:val="007B47FC"/>
    <w:rsid w:val="007C2147"/>
    <w:rsid w:val="007C5028"/>
    <w:rsid w:val="007D09A4"/>
    <w:rsid w:val="007D2D17"/>
    <w:rsid w:val="007D4650"/>
    <w:rsid w:val="007E3C57"/>
    <w:rsid w:val="007E7AB2"/>
    <w:rsid w:val="007F63B5"/>
    <w:rsid w:val="00803202"/>
    <w:rsid w:val="00810266"/>
    <w:rsid w:val="0081061A"/>
    <w:rsid w:val="008329FB"/>
    <w:rsid w:val="008433A2"/>
    <w:rsid w:val="008435B9"/>
    <w:rsid w:val="00853222"/>
    <w:rsid w:val="008535A6"/>
    <w:rsid w:val="00863FDD"/>
    <w:rsid w:val="00865031"/>
    <w:rsid w:val="00892ADE"/>
    <w:rsid w:val="00895616"/>
    <w:rsid w:val="00895FCC"/>
    <w:rsid w:val="008A0368"/>
    <w:rsid w:val="008A2896"/>
    <w:rsid w:val="008A4583"/>
    <w:rsid w:val="008A633E"/>
    <w:rsid w:val="008B34AE"/>
    <w:rsid w:val="008B4168"/>
    <w:rsid w:val="008C3150"/>
    <w:rsid w:val="008D544E"/>
    <w:rsid w:val="008D5A12"/>
    <w:rsid w:val="008D6B49"/>
    <w:rsid w:val="008E3BD8"/>
    <w:rsid w:val="009057F1"/>
    <w:rsid w:val="00912415"/>
    <w:rsid w:val="0091771C"/>
    <w:rsid w:val="00917999"/>
    <w:rsid w:val="00920016"/>
    <w:rsid w:val="00925D5C"/>
    <w:rsid w:val="00940474"/>
    <w:rsid w:val="00944A1A"/>
    <w:rsid w:val="0095414D"/>
    <w:rsid w:val="00955018"/>
    <w:rsid w:val="0096637B"/>
    <w:rsid w:val="009666BA"/>
    <w:rsid w:val="00967534"/>
    <w:rsid w:val="009717C8"/>
    <w:rsid w:val="00975509"/>
    <w:rsid w:val="00981455"/>
    <w:rsid w:val="0098534F"/>
    <w:rsid w:val="00994BE3"/>
    <w:rsid w:val="009A180C"/>
    <w:rsid w:val="009A5E5E"/>
    <w:rsid w:val="009A6C2E"/>
    <w:rsid w:val="009B15F0"/>
    <w:rsid w:val="009B5FED"/>
    <w:rsid w:val="009D0B70"/>
    <w:rsid w:val="009E6002"/>
    <w:rsid w:val="009E60B4"/>
    <w:rsid w:val="009F3487"/>
    <w:rsid w:val="009F3A91"/>
    <w:rsid w:val="00A0149A"/>
    <w:rsid w:val="00A17DD4"/>
    <w:rsid w:val="00A34FE5"/>
    <w:rsid w:val="00A4744B"/>
    <w:rsid w:val="00A52881"/>
    <w:rsid w:val="00A54D7C"/>
    <w:rsid w:val="00A56029"/>
    <w:rsid w:val="00A56847"/>
    <w:rsid w:val="00A65002"/>
    <w:rsid w:val="00AA3CE2"/>
    <w:rsid w:val="00AA499A"/>
    <w:rsid w:val="00AA5397"/>
    <w:rsid w:val="00AB5AC7"/>
    <w:rsid w:val="00AC34EB"/>
    <w:rsid w:val="00AC5FB6"/>
    <w:rsid w:val="00AD2AFB"/>
    <w:rsid w:val="00AE1EB4"/>
    <w:rsid w:val="00AE6A5E"/>
    <w:rsid w:val="00B07F41"/>
    <w:rsid w:val="00B14B4F"/>
    <w:rsid w:val="00B160DB"/>
    <w:rsid w:val="00B246A3"/>
    <w:rsid w:val="00B2498E"/>
    <w:rsid w:val="00B35B5F"/>
    <w:rsid w:val="00B37850"/>
    <w:rsid w:val="00B607FB"/>
    <w:rsid w:val="00B71E53"/>
    <w:rsid w:val="00B774EC"/>
    <w:rsid w:val="00B77635"/>
    <w:rsid w:val="00B776A4"/>
    <w:rsid w:val="00B80CB2"/>
    <w:rsid w:val="00B85A10"/>
    <w:rsid w:val="00B91292"/>
    <w:rsid w:val="00BA36CB"/>
    <w:rsid w:val="00BA4429"/>
    <w:rsid w:val="00BD11FD"/>
    <w:rsid w:val="00BD2368"/>
    <w:rsid w:val="00C2333B"/>
    <w:rsid w:val="00C237C8"/>
    <w:rsid w:val="00C25C9F"/>
    <w:rsid w:val="00C35508"/>
    <w:rsid w:val="00C35E6B"/>
    <w:rsid w:val="00C4053C"/>
    <w:rsid w:val="00C42792"/>
    <w:rsid w:val="00C512AB"/>
    <w:rsid w:val="00C628FC"/>
    <w:rsid w:val="00C635B6"/>
    <w:rsid w:val="00C64E32"/>
    <w:rsid w:val="00C66ACE"/>
    <w:rsid w:val="00C846A2"/>
    <w:rsid w:val="00CA4583"/>
    <w:rsid w:val="00CA5893"/>
    <w:rsid w:val="00CA74AC"/>
    <w:rsid w:val="00CB3920"/>
    <w:rsid w:val="00CB3DFD"/>
    <w:rsid w:val="00CB5ED4"/>
    <w:rsid w:val="00CC1996"/>
    <w:rsid w:val="00CD104C"/>
    <w:rsid w:val="00CD5004"/>
    <w:rsid w:val="00CE3E25"/>
    <w:rsid w:val="00CE6195"/>
    <w:rsid w:val="00CF1360"/>
    <w:rsid w:val="00D02296"/>
    <w:rsid w:val="00D03401"/>
    <w:rsid w:val="00D07E97"/>
    <w:rsid w:val="00D1268A"/>
    <w:rsid w:val="00D14B96"/>
    <w:rsid w:val="00D16129"/>
    <w:rsid w:val="00D30E2F"/>
    <w:rsid w:val="00D345D4"/>
    <w:rsid w:val="00D53972"/>
    <w:rsid w:val="00D655CD"/>
    <w:rsid w:val="00D66362"/>
    <w:rsid w:val="00D6664F"/>
    <w:rsid w:val="00D678C1"/>
    <w:rsid w:val="00D70727"/>
    <w:rsid w:val="00D7139B"/>
    <w:rsid w:val="00D73905"/>
    <w:rsid w:val="00D75E82"/>
    <w:rsid w:val="00D837C5"/>
    <w:rsid w:val="00D862C1"/>
    <w:rsid w:val="00D91C91"/>
    <w:rsid w:val="00D931A2"/>
    <w:rsid w:val="00DA1468"/>
    <w:rsid w:val="00DA5173"/>
    <w:rsid w:val="00DA5F22"/>
    <w:rsid w:val="00DA70BB"/>
    <w:rsid w:val="00DB4A80"/>
    <w:rsid w:val="00DC22F7"/>
    <w:rsid w:val="00DD33CE"/>
    <w:rsid w:val="00DD676A"/>
    <w:rsid w:val="00DD77C2"/>
    <w:rsid w:val="00E00F57"/>
    <w:rsid w:val="00E036D5"/>
    <w:rsid w:val="00E06846"/>
    <w:rsid w:val="00E12B37"/>
    <w:rsid w:val="00E14E0F"/>
    <w:rsid w:val="00E32A4C"/>
    <w:rsid w:val="00E43229"/>
    <w:rsid w:val="00E44456"/>
    <w:rsid w:val="00E45623"/>
    <w:rsid w:val="00E467BC"/>
    <w:rsid w:val="00E53C16"/>
    <w:rsid w:val="00E64470"/>
    <w:rsid w:val="00E65403"/>
    <w:rsid w:val="00E65C7C"/>
    <w:rsid w:val="00E93931"/>
    <w:rsid w:val="00EB5788"/>
    <w:rsid w:val="00EB5AD0"/>
    <w:rsid w:val="00EB7EC1"/>
    <w:rsid w:val="00EC29BC"/>
    <w:rsid w:val="00EE25F7"/>
    <w:rsid w:val="00F0623C"/>
    <w:rsid w:val="00F073BB"/>
    <w:rsid w:val="00F14A63"/>
    <w:rsid w:val="00F34B1B"/>
    <w:rsid w:val="00F4139B"/>
    <w:rsid w:val="00F43D68"/>
    <w:rsid w:val="00F47966"/>
    <w:rsid w:val="00F53A8F"/>
    <w:rsid w:val="00F55235"/>
    <w:rsid w:val="00F60640"/>
    <w:rsid w:val="00F60EED"/>
    <w:rsid w:val="00F6552B"/>
    <w:rsid w:val="00F825BC"/>
    <w:rsid w:val="00F93E0B"/>
    <w:rsid w:val="00F94159"/>
    <w:rsid w:val="00FA1860"/>
    <w:rsid w:val="00FA1E97"/>
    <w:rsid w:val="00FB0B13"/>
    <w:rsid w:val="00FC2E59"/>
    <w:rsid w:val="00FC3914"/>
    <w:rsid w:val="00FC68FF"/>
    <w:rsid w:val="00FF336E"/>
    <w:rsid w:val="01784CAC"/>
    <w:rsid w:val="025C13F5"/>
    <w:rsid w:val="028A75B2"/>
    <w:rsid w:val="044C4CF8"/>
    <w:rsid w:val="05EC3EFE"/>
    <w:rsid w:val="078B6C1C"/>
    <w:rsid w:val="07F01650"/>
    <w:rsid w:val="08461BA0"/>
    <w:rsid w:val="09935001"/>
    <w:rsid w:val="0B242979"/>
    <w:rsid w:val="0E0D3B32"/>
    <w:rsid w:val="0EE014DF"/>
    <w:rsid w:val="0F7C0A21"/>
    <w:rsid w:val="114E443F"/>
    <w:rsid w:val="12585119"/>
    <w:rsid w:val="12B46C23"/>
    <w:rsid w:val="12D96C5B"/>
    <w:rsid w:val="155B6560"/>
    <w:rsid w:val="178A2758"/>
    <w:rsid w:val="19AB214E"/>
    <w:rsid w:val="1AEE1856"/>
    <w:rsid w:val="1DB6165E"/>
    <w:rsid w:val="1E1F41A7"/>
    <w:rsid w:val="20CB58DA"/>
    <w:rsid w:val="214C2F48"/>
    <w:rsid w:val="2211631A"/>
    <w:rsid w:val="22746056"/>
    <w:rsid w:val="23057B9A"/>
    <w:rsid w:val="234714FD"/>
    <w:rsid w:val="24F11315"/>
    <w:rsid w:val="24F32299"/>
    <w:rsid w:val="25974433"/>
    <w:rsid w:val="260B232E"/>
    <w:rsid w:val="268C780A"/>
    <w:rsid w:val="2BC37D4A"/>
    <w:rsid w:val="2C6A3F9D"/>
    <w:rsid w:val="30017844"/>
    <w:rsid w:val="305431B6"/>
    <w:rsid w:val="3138758F"/>
    <w:rsid w:val="31F913F2"/>
    <w:rsid w:val="3210280D"/>
    <w:rsid w:val="327B0437"/>
    <w:rsid w:val="32F2543C"/>
    <w:rsid w:val="33B22A43"/>
    <w:rsid w:val="34084A46"/>
    <w:rsid w:val="358426CF"/>
    <w:rsid w:val="36972DB3"/>
    <w:rsid w:val="38D54888"/>
    <w:rsid w:val="38E92D23"/>
    <w:rsid w:val="3A3163D2"/>
    <w:rsid w:val="3A897C35"/>
    <w:rsid w:val="3BB97F17"/>
    <w:rsid w:val="3CB07A8B"/>
    <w:rsid w:val="3CC01320"/>
    <w:rsid w:val="3E580CB6"/>
    <w:rsid w:val="3F6724F8"/>
    <w:rsid w:val="40200E85"/>
    <w:rsid w:val="485C6071"/>
    <w:rsid w:val="48B913DB"/>
    <w:rsid w:val="4C093C67"/>
    <w:rsid w:val="53270E60"/>
    <w:rsid w:val="5371193E"/>
    <w:rsid w:val="56A462D2"/>
    <w:rsid w:val="572A7EDD"/>
    <w:rsid w:val="582C6232"/>
    <w:rsid w:val="59691DCF"/>
    <w:rsid w:val="59A47566"/>
    <w:rsid w:val="5C2229BF"/>
    <w:rsid w:val="61017593"/>
    <w:rsid w:val="683A07D2"/>
    <w:rsid w:val="691D58F2"/>
    <w:rsid w:val="698C5AFD"/>
    <w:rsid w:val="6AB5738C"/>
    <w:rsid w:val="6B1242EF"/>
    <w:rsid w:val="704A74FF"/>
    <w:rsid w:val="70962D2C"/>
    <w:rsid w:val="70BB5F4E"/>
    <w:rsid w:val="718111B1"/>
    <w:rsid w:val="724B62A4"/>
    <w:rsid w:val="727A2715"/>
    <w:rsid w:val="73951856"/>
    <w:rsid w:val="73FD7BE8"/>
    <w:rsid w:val="748E3BE7"/>
    <w:rsid w:val="75902500"/>
    <w:rsid w:val="773D768A"/>
    <w:rsid w:val="789571C4"/>
    <w:rsid w:val="7DAF091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11"/>
    <w:qFormat/>
    <w:uiPriority w:val="99"/>
    <w:pPr>
      <w:spacing w:beforeAutospacing="1" w:afterAutospacing="1"/>
      <w:jc w:val="left"/>
      <w:outlineLvl w:val="1"/>
    </w:pPr>
    <w:rPr>
      <w:rFonts w:ascii="宋体" w:hAnsi="宋体"/>
      <w:b/>
      <w:kern w:val="0"/>
      <w:sz w:val="36"/>
      <w:szCs w:val="36"/>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qFormat/>
    <w:locked/>
    <w:uiPriority w:val="99"/>
    <w:rPr>
      <w:rFonts w:ascii="Times New Roman" w:hAnsi="Times New Roman"/>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kern w:val="0"/>
      <w:sz w:val="24"/>
    </w:rPr>
  </w:style>
  <w:style w:type="character" w:styleId="9">
    <w:name w:val="Strong"/>
    <w:basedOn w:val="8"/>
    <w:qFormat/>
    <w:uiPriority w:val="99"/>
    <w:rPr>
      <w:rFonts w:cs="Times New Roman"/>
      <w:b/>
      <w:bCs/>
    </w:rPr>
  </w:style>
  <w:style w:type="character" w:styleId="10">
    <w:name w:val="page number"/>
    <w:basedOn w:val="8"/>
    <w:qFormat/>
    <w:uiPriority w:val="99"/>
    <w:rPr>
      <w:rFonts w:cs="Times New Roman"/>
    </w:rPr>
  </w:style>
  <w:style w:type="character" w:customStyle="1" w:styleId="11">
    <w:name w:val="Heading 2 Char"/>
    <w:basedOn w:val="8"/>
    <w:link w:val="2"/>
    <w:semiHidden/>
    <w:qFormat/>
    <w:locked/>
    <w:uiPriority w:val="99"/>
    <w:rPr>
      <w:rFonts w:ascii="Cambria" w:hAnsi="Cambria" w:eastAsia="宋体" w:cs="Times New Roman"/>
      <w:b/>
      <w:bCs/>
      <w:sz w:val="32"/>
      <w:szCs w:val="32"/>
    </w:rPr>
  </w:style>
  <w:style w:type="character" w:customStyle="1" w:styleId="12">
    <w:name w:val="Header Char"/>
    <w:basedOn w:val="8"/>
    <w:link w:val="5"/>
    <w:semiHidden/>
    <w:qFormat/>
    <w:locked/>
    <w:uiPriority w:val="99"/>
    <w:rPr>
      <w:rFonts w:ascii="Calibri" w:hAnsi="Calibri" w:cs="Times New Roman"/>
      <w:sz w:val="18"/>
      <w:szCs w:val="18"/>
    </w:rPr>
  </w:style>
  <w:style w:type="character" w:customStyle="1" w:styleId="13">
    <w:name w:val="Footer Char"/>
    <w:basedOn w:val="8"/>
    <w:link w:val="4"/>
    <w:semiHidden/>
    <w:qFormat/>
    <w:locked/>
    <w:uiPriority w:val="99"/>
    <w:rPr>
      <w:rFonts w:ascii="Calibri" w:hAnsi="Calibri" w:cs="Times New Roman"/>
      <w:sz w:val="18"/>
      <w:szCs w:val="18"/>
    </w:rPr>
  </w:style>
  <w:style w:type="character" w:customStyle="1" w:styleId="14">
    <w:name w:val="Balloon Text Char"/>
    <w:basedOn w:val="8"/>
    <w:link w:val="3"/>
    <w:semiHidden/>
    <w:qFormat/>
    <w:locked/>
    <w:uiPriority w:val="99"/>
    <w:rPr>
      <w:rFonts w:ascii="Calibri" w:hAnsi="Calibri" w:cs="Times New Roman"/>
      <w:sz w:val="2"/>
    </w:rPr>
  </w:style>
  <w:style w:type="paragraph" w:customStyle="1" w:styleId="15">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6</Pages>
  <Words>2754</Words>
  <Characters>2757</Characters>
  <Lines>0</Lines>
  <Paragraphs>0</Paragraphs>
  <TotalTime>24</TotalTime>
  <ScaleCrop>false</ScaleCrop>
  <LinksUpToDate>false</LinksUpToDate>
  <CharactersWithSpaces>2843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2017-12-25T08:41:00Z</dcterms:created>
  <dc:creator>Administrator</dc:creator>
  <cp:lastModifiedBy>小满姐</cp:lastModifiedBy>
  <cp:lastPrinted>2017-12-27T06:46:00Z</cp:lastPrinted>
  <dcterms:modified xsi:type="dcterms:W3CDTF">2023-10-08T02:03:44Z</dcterms:modified>
  <dc:title>益阳市不可移动文物保护办法</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16A6C3DC4E204C0BA58C760CEEBB3B59_12</vt:lpwstr>
  </property>
</Properties>
</file>