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Calibri" w:hAnsi="Calibri" w:eastAsia="黑体" w:cs="Times New Roman"/>
          <w:kern w:val="0"/>
          <w:sz w:val="32"/>
          <w:szCs w:val="32"/>
        </w:rPr>
      </w:pPr>
      <w:r>
        <w:rPr>
          <w:rFonts w:hint="eastAsia" w:ascii="楷体" w:hAnsi="楷体" w:eastAsia="楷体" w:cs="楷体"/>
          <w:sz w:val="36"/>
          <w:szCs w:val="36"/>
        </w:rPr>
        <w:t xml:space="preserve"> </w:t>
      </w:r>
      <w:r>
        <w:rPr>
          <w:rFonts w:ascii="Calibri" w:hAnsi="Calibri" w:eastAsia="黑体" w:cs="Times New Roman"/>
          <w:kern w:val="0"/>
          <w:sz w:val="32"/>
          <w:szCs w:val="32"/>
        </w:rPr>
        <w:t>附件1-1</w:t>
      </w:r>
    </w:p>
    <w:p>
      <w:pPr>
        <w:spacing w:before="312" w:beforeLines="100" w:after="312" w:afterLines="100"/>
        <w:jc w:val="center"/>
        <w:rPr>
          <w:rFonts w:hint="eastAsia" w:ascii="方正小标宋简体" w:hAnsi="黑体" w:eastAsia="方正小标宋简体" w:cs="Times New Roman"/>
          <w:bCs/>
          <w:kern w:val="0"/>
          <w:sz w:val="32"/>
          <w:szCs w:val="32"/>
        </w:rPr>
      </w:pPr>
      <w:r>
        <w:rPr>
          <w:rFonts w:hint="eastAsia" w:ascii="方正小标宋简体" w:hAnsi="黑体" w:eastAsia="方正小标宋简体" w:cs="Times New Roman"/>
          <w:bCs/>
          <w:kern w:val="0"/>
          <w:sz w:val="36"/>
          <w:szCs w:val="36"/>
          <w:lang w:val="en-US" w:eastAsia="zh-CN"/>
        </w:rPr>
        <w:t>2023</w:t>
      </w:r>
      <w:r>
        <w:rPr>
          <w:rFonts w:hint="eastAsia" w:ascii="方正小标宋简体" w:hAnsi="黑体" w:eastAsia="方正小标宋简体" w:cs="Times New Roman"/>
          <w:bCs/>
          <w:kern w:val="0"/>
          <w:sz w:val="36"/>
          <w:szCs w:val="36"/>
        </w:rPr>
        <w:t>年部门整体支出绩效目标表</w:t>
      </w:r>
    </w:p>
    <w:p>
      <w:pPr>
        <w:widowControl/>
        <w:tabs>
          <w:tab w:val="left" w:pos="2593"/>
        </w:tabs>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4"/>
          <w:szCs w:val="21"/>
        </w:rPr>
        <w:t xml:space="preserve"> 填报单位：（盖章）</w:t>
      </w:r>
      <w:r>
        <w:rPr>
          <w:rFonts w:hint="eastAsia" w:ascii="仿宋_GB2312" w:hAnsi="Calibri" w:eastAsia="仿宋_GB2312" w:cs="Times New Roman"/>
          <w:kern w:val="0"/>
          <w:sz w:val="21"/>
          <w:szCs w:val="21"/>
        </w:rPr>
        <w:tab/>
      </w:r>
    </w:p>
    <w:tbl>
      <w:tblPr>
        <w:tblStyle w:val="2"/>
        <w:tblW w:w="94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1"/>
        <w:gridCol w:w="1147"/>
        <w:gridCol w:w="2793"/>
        <w:gridCol w:w="3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noWrap w:val="0"/>
            <w:vAlign w:val="center"/>
          </w:tcPr>
          <w:p>
            <w:pPr>
              <w:widowControl/>
              <w:jc w:val="center"/>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部门名称</w:t>
            </w:r>
          </w:p>
        </w:tc>
        <w:tc>
          <w:tcPr>
            <w:tcW w:w="7681" w:type="dxa"/>
            <w:gridSpan w:val="3"/>
            <w:noWrap w:val="0"/>
            <w:vAlign w:val="center"/>
          </w:tcPr>
          <w:p>
            <w:pPr>
              <w:widowControl/>
              <w:jc w:val="center"/>
              <w:rPr>
                <w:rFonts w:hint="eastAsia" w:ascii="仿宋_GB2312" w:hAnsi="Calibri" w:eastAsia="仿宋_GB2312" w:cs="Times New Roman"/>
                <w:kern w:val="0"/>
                <w:sz w:val="21"/>
                <w:szCs w:val="21"/>
              </w:rPr>
            </w:pPr>
            <w:r>
              <w:rPr>
                <w:rFonts w:hint="eastAsia" w:hAnsi="Calibri" w:cs="Times New Roman"/>
                <w:kern w:val="0"/>
                <w:sz w:val="21"/>
                <w:szCs w:val="21"/>
                <w:lang w:val="en-US" w:eastAsia="zh-CN"/>
              </w:rPr>
              <w:t>益阳南洞庭湖自然保护区沅江市管理局</w:t>
            </w:r>
            <w:r>
              <w:rPr>
                <w:rFonts w:hint="eastAsia" w:ascii="仿宋_GB2312" w:hAnsi="Calibri" w:eastAsia="仿宋_GB2312" w:cs="Times New Roman"/>
                <w:kern w:val="0"/>
                <w:sz w:val="21"/>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restart"/>
            <w:noWrap w:val="0"/>
            <w:vAlign w:val="center"/>
          </w:tcPr>
          <w:p>
            <w:pPr>
              <w:widowControl/>
              <w:jc w:val="center"/>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年度预算申请</w:t>
            </w:r>
            <w:r>
              <w:rPr>
                <w:rFonts w:hint="eastAsia" w:ascii="仿宋_GB2312" w:hAnsi="Calibri" w:eastAsia="仿宋_GB2312" w:cs="Times New Roman"/>
                <w:kern w:val="0"/>
                <w:sz w:val="21"/>
                <w:szCs w:val="21"/>
              </w:rPr>
              <w:br w:type="textWrapping"/>
            </w:r>
            <w:r>
              <w:rPr>
                <w:rFonts w:hint="eastAsia" w:ascii="仿宋_GB2312" w:hAnsi="Calibri" w:eastAsia="仿宋_GB2312" w:cs="Times New Roman"/>
                <w:kern w:val="0"/>
                <w:sz w:val="21"/>
                <w:szCs w:val="21"/>
              </w:rPr>
              <w:t>（万元）</w:t>
            </w:r>
          </w:p>
        </w:tc>
        <w:tc>
          <w:tcPr>
            <w:tcW w:w="7681" w:type="dxa"/>
            <w:gridSpan w:val="3"/>
            <w:noWrap w:val="0"/>
            <w:vAlign w:val="center"/>
          </w:tcPr>
          <w:p>
            <w:pPr>
              <w:widowControl/>
              <w:jc w:val="left"/>
              <w:rPr>
                <w:rFonts w:hint="default" w:ascii="仿宋_GB2312" w:hAnsi="Calibri" w:eastAsia="仿宋_GB2312" w:cs="Times New Roman"/>
                <w:kern w:val="0"/>
                <w:sz w:val="21"/>
                <w:szCs w:val="21"/>
                <w:lang w:val="en-US" w:eastAsia="zh-CN"/>
              </w:rPr>
            </w:pPr>
            <w:r>
              <w:rPr>
                <w:rFonts w:hint="eastAsia" w:ascii="仿宋_GB2312" w:hAnsi="Calibri" w:eastAsia="仿宋_GB2312" w:cs="Times New Roman"/>
                <w:kern w:val="0"/>
                <w:sz w:val="21"/>
                <w:szCs w:val="21"/>
              </w:rPr>
              <w:t>资金总额：</w:t>
            </w:r>
            <w:r>
              <w:rPr>
                <w:rFonts w:hint="eastAsia" w:hAnsi="Calibri" w:cs="Times New Roman"/>
                <w:kern w:val="0"/>
                <w:sz w:val="21"/>
                <w:szCs w:val="21"/>
                <w:lang w:val="en-US" w:eastAsia="zh-CN"/>
              </w:rPr>
              <w:t>645.59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hint="eastAsia" w:ascii="仿宋_GB2312" w:hAnsi="Calibri" w:eastAsia="仿宋_GB2312" w:cs="Times New Roman"/>
                <w:kern w:val="0"/>
                <w:sz w:val="21"/>
                <w:szCs w:val="21"/>
              </w:rPr>
            </w:pPr>
          </w:p>
        </w:tc>
        <w:tc>
          <w:tcPr>
            <w:tcW w:w="3940" w:type="dxa"/>
            <w:gridSpan w:val="2"/>
            <w:noWrap w:val="0"/>
            <w:vAlign w:val="center"/>
          </w:tcPr>
          <w:p>
            <w:pPr>
              <w:widowControl/>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按收入性质分：</w:t>
            </w:r>
          </w:p>
        </w:tc>
        <w:tc>
          <w:tcPr>
            <w:tcW w:w="3741" w:type="dxa"/>
            <w:noWrap w:val="0"/>
            <w:vAlign w:val="center"/>
          </w:tcPr>
          <w:p>
            <w:pPr>
              <w:widowControl/>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按支出性质分：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hint="eastAsia" w:ascii="仿宋_GB2312" w:hAnsi="Calibri" w:eastAsia="仿宋_GB2312" w:cs="Times New Roman"/>
                <w:kern w:val="0"/>
                <w:sz w:val="21"/>
                <w:szCs w:val="21"/>
              </w:rPr>
            </w:pPr>
          </w:p>
        </w:tc>
        <w:tc>
          <w:tcPr>
            <w:tcW w:w="3940" w:type="dxa"/>
            <w:gridSpan w:val="2"/>
            <w:noWrap w:val="0"/>
            <w:vAlign w:val="center"/>
          </w:tcPr>
          <w:p>
            <w:pPr>
              <w:widowControl/>
              <w:jc w:val="left"/>
              <w:rPr>
                <w:rFonts w:hint="default" w:ascii="仿宋_GB2312" w:hAnsi="Calibri" w:eastAsia="仿宋_GB2312" w:cs="Times New Roman"/>
                <w:kern w:val="0"/>
                <w:sz w:val="21"/>
                <w:szCs w:val="21"/>
                <w:lang w:val="en-US" w:eastAsia="zh-CN"/>
              </w:rPr>
            </w:pPr>
            <w:r>
              <w:rPr>
                <w:rFonts w:hint="eastAsia" w:ascii="仿宋_GB2312" w:hAnsi="Calibri" w:eastAsia="仿宋_GB2312" w:cs="Times New Roman"/>
                <w:kern w:val="0"/>
                <w:sz w:val="21"/>
                <w:szCs w:val="21"/>
              </w:rPr>
              <w:t>其中：  一般公共预算：</w:t>
            </w:r>
            <w:r>
              <w:rPr>
                <w:rFonts w:hint="eastAsia" w:hAnsi="Calibri" w:cs="Times New Roman"/>
                <w:kern w:val="0"/>
                <w:sz w:val="21"/>
                <w:szCs w:val="21"/>
                <w:lang w:val="en-US" w:eastAsia="zh-CN"/>
              </w:rPr>
              <w:t>635.59</w:t>
            </w:r>
          </w:p>
        </w:tc>
        <w:tc>
          <w:tcPr>
            <w:tcW w:w="3741" w:type="dxa"/>
            <w:noWrap w:val="0"/>
            <w:vAlign w:val="center"/>
          </w:tcPr>
          <w:p>
            <w:pPr>
              <w:widowControl/>
              <w:jc w:val="left"/>
              <w:rPr>
                <w:rFonts w:hint="default" w:ascii="仿宋_GB2312" w:hAnsi="Calibri" w:eastAsia="仿宋_GB2312" w:cs="Times New Roman"/>
                <w:kern w:val="0"/>
                <w:sz w:val="21"/>
                <w:szCs w:val="21"/>
                <w:lang w:val="en-US" w:eastAsia="zh-CN"/>
              </w:rPr>
            </w:pPr>
            <w:r>
              <w:rPr>
                <w:rFonts w:hint="eastAsia" w:ascii="仿宋_GB2312" w:hAnsi="Calibri" w:eastAsia="仿宋_GB2312" w:cs="Times New Roman"/>
                <w:kern w:val="0"/>
                <w:sz w:val="21"/>
                <w:szCs w:val="21"/>
              </w:rPr>
              <w:t>其中： 基本支出：</w:t>
            </w:r>
            <w:r>
              <w:rPr>
                <w:rFonts w:hint="eastAsia" w:hAnsi="Calibri" w:cs="Times New Roman"/>
                <w:kern w:val="0"/>
                <w:sz w:val="21"/>
                <w:szCs w:val="21"/>
                <w:lang w:val="en-US" w:eastAsia="zh-CN"/>
              </w:rPr>
              <w:t>515.59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hint="eastAsia" w:ascii="仿宋_GB2312" w:hAnsi="Calibri" w:eastAsia="仿宋_GB2312" w:cs="Times New Roman"/>
                <w:kern w:val="0"/>
                <w:sz w:val="21"/>
                <w:szCs w:val="21"/>
              </w:rPr>
            </w:pPr>
          </w:p>
        </w:tc>
        <w:tc>
          <w:tcPr>
            <w:tcW w:w="3940" w:type="dxa"/>
            <w:gridSpan w:val="2"/>
            <w:noWrap w:val="0"/>
            <w:vAlign w:val="center"/>
          </w:tcPr>
          <w:p>
            <w:pPr>
              <w:widowControl/>
              <w:jc w:val="left"/>
              <w:rPr>
                <w:rFonts w:hint="default" w:ascii="仿宋_GB2312" w:hAnsi="Calibri" w:eastAsia="仿宋_GB2312" w:cs="Times New Roman"/>
                <w:kern w:val="0"/>
                <w:sz w:val="21"/>
                <w:szCs w:val="21"/>
                <w:lang w:val="en-US" w:eastAsia="zh-CN"/>
              </w:rPr>
            </w:pPr>
            <w:r>
              <w:rPr>
                <w:rFonts w:hint="eastAsia" w:ascii="仿宋_GB2312" w:hAnsi="Calibri" w:eastAsia="仿宋_GB2312" w:cs="Times New Roman"/>
                <w:kern w:val="0"/>
                <w:sz w:val="21"/>
                <w:szCs w:val="21"/>
              </w:rPr>
              <w:t xml:space="preserve">       政府性基金拨款：</w:t>
            </w:r>
            <w:r>
              <w:rPr>
                <w:rFonts w:hint="eastAsia" w:hAnsi="Calibri" w:cs="Times New Roman"/>
                <w:kern w:val="0"/>
                <w:sz w:val="21"/>
                <w:szCs w:val="21"/>
                <w:lang w:val="en-US" w:eastAsia="zh-CN"/>
              </w:rPr>
              <w:t>10</w:t>
            </w:r>
          </w:p>
        </w:tc>
        <w:tc>
          <w:tcPr>
            <w:tcW w:w="3741" w:type="dxa"/>
            <w:noWrap w:val="0"/>
            <w:vAlign w:val="center"/>
          </w:tcPr>
          <w:p>
            <w:pPr>
              <w:widowControl/>
              <w:jc w:val="left"/>
              <w:rPr>
                <w:rFonts w:hint="default" w:ascii="仿宋_GB2312" w:hAnsi="Calibri" w:eastAsia="仿宋_GB2312" w:cs="Times New Roman"/>
                <w:kern w:val="0"/>
                <w:sz w:val="21"/>
                <w:szCs w:val="21"/>
                <w:lang w:val="en-US" w:eastAsia="zh-CN"/>
              </w:rPr>
            </w:pPr>
            <w:r>
              <w:rPr>
                <w:rFonts w:hint="eastAsia" w:ascii="仿宋_GB2312" w:hAnsi="Calibri" w:eastAsia="仿宋_GB2312" w:cs="Times New Roman"/>
                <w:kern w:val="0"/>
                <w:sz w:val="21"/>
                <w:szCs w:val="21"/>
              </w:rPr>
              <w:t xml:space="preserve">       项目支出：</w:t>
            </w:r>
            <w:r>
              <w:rPr>
                <w:rFonts w:hint="eastAsia" w:hAnsi="Calibri" w:cs="Times New Roman"/>
                <w:kern w:val="0"/>
                <w:sz w:val="21"/>
                <w:szCs w:val="21"/>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hint="eastAsia" w:ascii="仿宋_GB2312" w:hAnsi="Calibri" w:eastAsia="仿宋_GB2312" w:cs="Times New Roman"/>
                <w:kern w:val="0"/>
                <w:sz w:val="21"/>
                <w:szCs w:val="21"/>
              </w:rPr>
            </w:pPr>
          </w:p>
        </w:tc>
        <w:tc>
          <w:tcPr>
            <w:tcW w:w="3940" w:type="dxa"/>
            <w:gridSpan w:val="2"/>
            <w:noWrap w:val="0"/>
            <w:vAlign w:val="center"/>
          </w:tcPr>
          <w:p>
            <w:pPr>
              <w:widowControl/>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纳入专户管理的非税收入拨款：</w:t>
            </w:r>
          </w:p>
        </w:tc>
        <w:tc>
          <w:tcPr>
            <w:tcW w:w="3741" w:type="dxa"/>
            <w:noWrap w:val="0"/>
            <w:vAlign w:val="center"/>
          </w:tcPr>
          <w:p>
            <w:pPr>
              <w:widowControl/>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761" w:type="dxa"/>
            <w:vMerge w:val="continue"/>
            <w:noWrap w:val="0"/>
            <w:vAlign w:val="center"/>
          </w:tcPr>
          <w:p>
            <w:pPr>
              <w:widowControl/>
              <w:jc w:val="left"/>
              <w:rPr>
                <w:rFonts w:hint="eastAsia" w:ascii="仿宋_GB2312" w:hAnsi="Calibri" w:eastAsia="仿宋_GB2312" w:cs="Times New Roman"/>
                <w:kern w:val="0"/>
                <w:sz w:val="21"/>
                <w:szCs w:val="21"/>
              </w:rPr>
            </w:pPr>
          </w:p>
        </w:tc>
        <w:tc>
          <w:tcPr>
            <w:tcW w:w="3940" w:type="dxa"/>
            <w:gridSpan w:val="2"/>
            <w:noWrap w:val="0"/>
            <w:vAlign w:val="center"/>
          </w:tcPr>
          <w:p>
            <w:pPr>
              <w:widowControl/>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 xml:space="preserve">             其他资金：</w:t>
            </w:r>
          </w:p>
        </w:tc>
        <w:tc>
          <w:tcPr>
            <w:tcW w:w="3741" w:type="dxa"/>
            <w:noWrap w:val="0"/>
            <w:vAlign w:val="center"/>
          </w:tcPr>
          <w:p>
            <w:pPr>
              <w:widowControl/>
              <w:jc w:val="left"/>
              <w:rPr>
                <w:rFonts w:hint="eastAsia" w:ascii="仿宋_GB2312" w:hAnsi="Calibri" w:eastAsia="仿宋_GB2312"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atLeast"/>
          <w:jc w:val="center"/>
        </w:trPr>
        <w:tc>
          <w:tcPr>
            <w:tcW w:w="1761" w:type="dxa"/>
            <w:noWrap w:val="0"/>
            <w:vAlign w:val="center"/>
          </w:tcPr>
          <w:p>
            <w:pPr>
              <w:widowControl/>
              <w:jc w:val="center"/>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部门职能</w:t>
            </w:r>
          </w:p>
          <w:p>
            <w:pPr>
              <w:widowControl/>
              <w:jc w:val="center"/>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职责概述</w:t>
            </w:r>
          </w:p>
        </w:tc>
        <w:tc>
          <w:tcPr>
            <w:tcW w:w="7681" w:type="dxa"/>
            <w:gridSpan w:val="3"/>
            <w:noWrap w:val="0"/>
            <w:vAlign w:val="center"/>
          </w:tcPr>
          <w:p>
            <w:pPr>
              <w:widowControl/>
              <w:ind w:firstLine="420" w:firstLineChars="200"/>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贯彻落实国家及省、市有关自然保护和野生动植物资源的方针、政策、法令。负责组织申报和实施自然保护区生态修复和建设项目，进行退化湿地修复改造；加强对自然保护区试验区、缓冲区、核心区的分类保护和管理。组织开展科学研究，重点对濒危珍稀动植物保护发展进行研究，采取生态环境保护措施，做好引种驯化和繁殖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3" w:hRule="atLeast"/>
          <w:jc w:val="center"/>
        </w:trPr>
        <w:tc>
          <w:tcPr>
            <w:tcW w:w="1761" w:type="dxa"/>
            <w:noWrap w:val="0"/>
            <w:vAlign w:val="center"/>
          </w:tcPr>
          <w:p>
            <w:pPr>
              <w:widowControl/>
              <w:jc w:val="center"/>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整体绩效目标</w:t>
            </w:r>
          </w:p>
        </w:tc>
        <w:tc>
          <w:tcPr>
            <w:tcW w:w="7681" w:type="dxa"/>
            <w:gridSpan w:val="3"/>
            <w:noWrap w:val="0"/>
            <w:vAlign w:val="center"/>
          </w:tcPr>
          <w:p>
            <w:pPr>
              <w:widowControl/>
              <w:ind w:firstLine="420" w:firstLineChars="200"/>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目标1：认真履行自然保护区管理各项职能。加强自然保护区范围内日常巡护，办理多起非法捕捞案件，严厉打击非法捕捞等各种破坏湿地资源的行为，为推进生态保护做出贡献</w:t>
            </w:r>
          </w:p>
          <w:p>
            <w:pPr>
              <w:widowControl/>
              <w:ind w:firstLine="420" w:firstLineChars="200"/>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lang w:val="en-US" w:eastAsia="zh-CN"/>
              </w:rPr>
              <w:t>目标2：:</w:t>
            </w:r>
            <w:r>
              <w:rPr>
                <w:rFonts w:hint="eastAsia" w:ascii="仿宋_GB2312" w:hAnsi="Calibri" w:eastAsia="仿宋_GB2312" w:cs="Times New Roman"/>
                <w:kern w:val="0"/>
                <w:sz w:val="21"/>
                <w:szCs w:val="21"/>
              </w:rPr>
              <w:t>区域内湿地生态系统逐步完善和稳定，生物多样性提高，湿地生态系统功能正常，可持续影响显著。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jc w:val="center"/>
        </w:trPr>
        <w:tc>
          <w:tcPr>
            <w:tcW w:w="1761" w:type="dxa"/>
            <w:vMerge w:val="restart"/>
            <w:noWrap w:val="0"/>
            <w:vAlign w:val="center"/>
          </w:tcPr>
          <w:p>
            <w:pPr>
              <w:widowControl/>
              <w:jc w:val="center"/>
              <w:rPr>
                <w:rFonts w:hint="eastAsia" w:ascii="仿宋_GB2312" w:hAnsi="Calibri" w:eastAsia="仿宋_GB2312" w:cs="Times New Roman"/>
                <w:kern w:val="0"/>
                <w:sz w:val="21"/>
                <w:szCs w:val="21"/>
              </w:rPr>
            </w:pPr>
          </w:p>
        </w:tc>
        <w:tc>
          <w:tcPr>
            <w:tcW w:w="1147" w:type="dxa"/>
            <w:tcBorders>
              <w:right w:val="single" w:color="auto" w:sz="4" w:space="0"/>
            </w:tcBorders>
            <w:noWrap w:val="0"/>
            <w:vAlign w:val="center"/>
          </w:tcPr>
          <w:p>
            <w:pPr>
              <w:widowControl/>
              <w:jc w:val="center"/>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产出指标</w:t>
            </w:r>
          </w:p>
        </w:tc>
        <w:tc>
          <w:tcPr>
            <w:tcW w:w="6534" w:type="dxa"/>
            <w:gridSpan w:val="2"/>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部门职能正常发挥，认真履行部门职责，各项工作有效有序开展，积极完成任务计划。认真监督各项工作的实施，积极配合有关单位检查工作。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1761" w:type="dxa"/>
            <w:vMerge w:val="continue"/>
            <w:noWrap w:val="0"/>
            <w:vAlign w:val="center"/>
          </w:tcPr>
          <w:p>
            <w:pPr>
              <w:widowControl/>
              <w:jc w:val="left"/>
              <w:rPr>
                <w:rFonts w:hint="eastAsia" w:ascii="仿宋_GB2312" w:hAnsi="Calibri" w:eastAsia="仿宋_GB2312" w:cs="Times New Roman"/>
                <w:kern w:val="0"/>
                <w:sz w:val="21"/>
                <w:szCs w:val="21"/>
              </w:rPr>
            </w:pPr>
          </w:p>
        </w:tc>
        <w:tc>
          <w:tcPr>
            <w:tcW w:w="1147" w:type="dxa"/>
            <w:noWrap w:val="0"/>
            <w:vAlign w:val="center"/>
          </w:tcPr>
          <w:p>
            <w:pPr>
              <w:widowControl/>
              <w:jc w:val="center"/>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效益指标</w:t>
            </w:r>
          </w:p>
        </w:tc>
        <w:tc>
          <w:tcPr>
            <w:tcW w:w="6534" w:type="dxa"/>
            <w:gridSpan w:val="2"/>
            <w:tcBorders>
              <w:top w:val="single" w:color="auto" w:sz="4" w:space="0"/>
            </w:tcBorders>
            <w:noWrap w:val="0"/>
            <w:vAlign w:val="center"/>
          </w:tcPr>
          <w:p>
            <w:pPr>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实施湿地保护与</w:t>
            </w:r>
            <w:r>
              <w:rPr>
                <w:rFonts w:hint="eastAsia" w:ascii="仿宋_GB2312" w:hAnsi="Calibri" w:eastAsia="仿宋_GB2312" w:cs="Times New Roman"/>
                <w:kern w:val="0"/>
                <w:sz w:val="21"/>
                <w:szCs w:val="21"/>
                <w:lang w:val="en-US" w:eastAsia="zh-CN"/>
              </w:rPr>
              <w:t>修</w:t>
            </w:r>
            <w:r>
              <w:rPr>
                <w:rFonts w:hint="eastAsia" w:ascii="仿宋_GB2312" w:hAnsi="Calibri" w:eastAsia="仿宋_GB2312" w:cs="Times New Roman"/>
                <w:kern w:val="0"/>
                <w:sz w:val="21"/>
                <w:szCs w:val="21"/>
              </w:rPr>
              <w:t>复项目，开展资源调查、生物多样性监测等，不断提高保护区管理水平，建立完善保护区生物信息库，进一步推动保护区发展，为开展下一步工作夯实基础;通过多样化的宣传，提高人们对湿地保护、生态保护的意识。</w:t>
            </w:r>
          </w:p>
          <w:p>
            <w:pPr>
              <w:jc w:val="center"/>
              <w:rPr>
                <w:rFonts w:hint="eastAsia" w:ascii="仿宋_GB2312" w:hAnsi="Calibri" w:eastAsia="仿宋_GB2312" w:cs="Times New Roman"/>
                <w:kern w:val="0"/>
                <w:sz w:val="21"/>
                <w:szCs w:val="21"/>
              </w:rPr>
            </w:pPr>
          </w:p>
        </w:tc>
      </w:tr>
    </w:tbl>
    <w:p>
      <w:pPr>
        <w:widowControl/>
        <w:tabs>
          <w:tab w:val="left" w:pos="1333"/>
          <w:tab w:val="left" w:pos="3793"/>
          <w:tab w:val="left" w:pos="5853"/>
        </w:tabs>
        <w:jc w:val="left"/>
        <w:rPr>
          <w:rFonts w:hint="eastAsia" w:ascii="仿宋_GB2312" w:hAnsi="Calibri" w:eastAsia="仿宋_GB2312" w:cs="Times New Roman"/>
          <w:kern w:val="0"/>
          <w:sz w:val="21"/>
          <w:szCs w:val="21"/>
        </w:rPr>
      </w:pPr>
    </w:p>
    <w:p>
      <w:pPr>
        <w:widowControl/>
        <w:tabs>
          <w:tab w:val="left" w:pos="1333"/>
          <w:tab w:val="left" w:pos="3793"/>
          <w:tab w:val="left" w:pos="5853"/>
        </w:tabs>
        <w:jc w:val="left"/>
        <w:rPr>
          <w:rFonts w:hint="eastAsia" w:ascii="仿宋_GB2312" w:hAnsi="Calibri" w:eastAsia="仿宋_GB2312" w:cs="Times New Roman"/>
          <w:kern w:val="0"/>
          <w:sz w:val="21"/>
          <w:szCs w:val="21"/>
        </w:rPr>
      </w:pPr>
      <w:r>
        <w:rPr>
          <w:rFonts w:hint="eastAsia" w:ascii="仿宋_GB2312" w:hAnsi="Calibri" w:eastAsia="仿宋_GB2312" w:cs="Times New Roman"/>
          <w:kern w:val="0"/>
          <w:sz w:val="21"/>
          <w:szCs w:val="21"/>
        </w:rPr>
        <w:t>填表人：</w:t>
      </w:r>
      <w:r>
        <w:rPr>
          <w:rFonts w:hint="eastAsia" w:hAnsi="Calibri" w:cs="Times New Roman"/>
          <w:kern w:val="0"/>
          <w:sz w:val="21"/>
          <w:szCs w:val="21"/>
          <w:lang w:val="en-US" w:eastAsia="zh-CN"/>
        </w:rPr>
        <w:t>肖向前</w:t>
      </w:r>
      <w:r>
        <w:rPr>
          <w:rFonts w:hint="eastAsia" w:ascii="仿宋_GB2312" w:hAnsi="Calibri" w:eastAsia="仿宋_GB2312" w:cs="Times New Roman"/>
          <w:kern w:val="0"/>
          <w:sz w:val="21"/>
          <w:szCs w:val="21"/>
        </w:rPr>
        <w:t xml:space="preserve">  联系电</w:t>
      </w:r>
      <w:r>
        <w:rPr>
          <w:rFonts w:hint="eastAsia" w:hAnsi="Calibri" w:cs="Times New Roman"/>
          <w:kern w:val="0"/>
          <w:sz w:val="21"/>
          <w:szCs w:val="21"/>
          <w:lang w:val="en-US" w:eastAsia="zh-CN"/>
        </w:rPr>
        <w:t xml:space="preserve">话：15873713599 </w:t>
      </w:r>
      <w:r>
        <w:rPr>
          <w:rFonts w:hint="eastAsia" w:ascii="仿宋_GB2312" w:hAnsi="Calibri" w:eastAsia="仿宋_GB2312" w:cs="Times New Roman"/>
          <w:kern w:val="0"/>
          <w:sz w:val="21"/>
          <w:szCs w:val="21"/>
        </w:rPr>
        <w:t xml:space="preserve"> </w:t>
      </w:r>
      <w:r>
        <w:rPr>
          <w:rFonts w:hint="eastAsia" w:hAnsi="Calibri" w:cs="Times New Roman"/>
          <w:kern w:val="0"/>
          <w:sz w:val="21"/>
          <w:szCs w:val="21"/>
          <w:lang w:val="en-US" w:eastAsia="zh-CN"/>
        </w:rPr>
        <w:t xml:space="preserve"> </w:t>
      </w:r>
      <w:r>
        <w:rPr>
          <w:rFonts w:hint="eastAsia" w:ascii="仿宋_GB2312" w:hAnsi="Calibri" w:eastAsia="仿宋_GB2312" w:cs="Times New Roman"/>
          <w:kern w:val="0"/>
          <w:sz w:val="21"/>
          <w:szCs w:val="21"/>
        </w:rPr>
        <w:t>填报日期：</w:t>
      </w:r>
      <w:r>
        <w:rPr>
          <w:rFonts w:hint="eastAsia" w:hAnsi="Calibri" w:cs="Times New Roman"/>
          <w:kern w:val="0"/>
          <w:sz w:val="21"/>
          <w:szCs w:val="21"/>
          <w:lang w:val="en-US" w:eastAsia="zh-CN"/>
        </w:rPr>
        <w:t>2023.8.21</w:t>
      </w:r>
      <w:r>
        <w:rPr>
          <w:rFonts w:hint="eastAsia" w:ascii="仿宋_GB2312" w:hAnsi="Calibri" w:eastAsia="仿宋_GB2312" w:cs="Times New Roman"/>
          <w:kern w:val="0"/>
          <w:sz w:val="21"/>
          <w:szCs w:val="21"/>
        </w:rPr>
        <w:t xml:space="preserve">   单位负责人签字：</w:t>
      </w:r>
    </w:p>
    <w:p>
      <w:pPr>
        <w:spacing w:line="600" w:lineRule="exact"/>
        <w:rPr>
          <w:rFonts w:ascii="Calibri" w:hAnsi="Calibri" w:eastAsia="黑体" w:cs="Times New Roman"/>
          <w:bCs/>
          <w:kern w:val="0"/>
          <w:sz w:val="32"/>
          <w:szCs w:val="32"/>
        </w:rPr>
      </w:pPr>
      <w:r>
        <w:rPr>
          <w:rFonts w:ascii="Calibri" w:hAnsi="Calibri" w:eastAsia="黑体" w:cs="Times New Roman"/>
          <w:kern w:val="0"/>
          <w:sz w:val="32"/>
          <w:szCs w:val="32"/>
        </w:rPr>
        <w:br w:type="page"/>
      </w:r>
      <w:r>
        <w:rPr>
          <w:rFonts w:ascii="Calibri" w:hAnsi="Calibri" w:eastAsia="黑体" w:cs="Times New Roman"/>
          <w:bCs/>
          <w:kern w:val="0"/>
          <w:sz w:val="32"/>
          <w:szCs w:val="32"/>
        </w:rPr>
        <w:t>附件2-1</w:t>
      </w:r>
    </w:p>
    <w:p>
      <w:pPr>
        <w:spacing w:line="600" w:lineRule="exact"/>
        <w:jc w:val="center"/>
        <w:rPr>
          <w:rFonts w:hint="eastAsia" w:ascii="方正小标宋简体" w:hAnsi="Calibri" w:eastAsia="方正小标宋简体" w:cs="Times New Roman"/>
          <w:color w:val="000000"/>
          <w:kern w:val="0"/>
          <w:sz w:val="36"/>
          <w:szCs w:val="36"/>
        </w:rPr>
      </w:pPr>
      <w:r>
        <w:rPr>
          <w:rFonts w:hint="eastAsia" w:ascii="方正小标宋简体" w:hAnsi="Calibri" w:eastAsia="方正小标宋简体" w:cs="Times New Roman"/>
          <w:color w:val="000000"/>
          <w:kern w:val="0"/>
          <w:sz w:val="36"/>
          <w:szCs w:val="36"/>
          <w:lang w:val="en-US" w:eastAsia="zh-CN"/>
        </w:rPr>
        <w:t>2023</w:t>
      </w:r>
      <w:r>
        <w:rPr>
          <w:rFonts w:hint="eastAsia" w:ascii="方正小标宋简体" w:hAnsi="Calibri" w:eastAsia="方正小标宋简体" w:cs="Times New Roman"/>
          <w:color w:val="000000"/>
          <w:kern w:val="0"/>
          <w:sz w:val="36"/>
          <w:szCs w:val="36"/>
        </w:rPr>
        <w:t>年项目支出绩效目标表</w:t>
      </w:r>
    </w:p>
    <w:tbl>
      <w:tblPr>
        <w:tblStyle w:val="2"/>
        <w:tblW w:w="9032" w:type="dxa"/>
        <w:jc w:val="center"/>
        <w:tblLayout w:type="autofit"/>
        <w:tblCellMar>
          <w:top w:w="0" w:type="dxa"/>
          <w:left w:w="108" w:type="dxa"/>
          <w:bottom w:w="0" w:type="dxa"/>
          <w:right w:w="108" w:type="dxa"/>
        </w:tblCellMar>
      </w:tblPr>
      <w:tblGrid>
        <w:gridCol w:w="1843"/>
        <w:gridCol w:w="1134"/>
        <w:gridCol w:w="1143"/>
        <w:gridCol w:w="2515"/>
        <w:gridCol w:w="663"/>
        <w:gridCol w:w="962"/>
        <w:gridCol w:w="772"/>
      </w:tblGrid>
      <w:tr>
        <w:tblPrEx>
          <w:tblCellMar>
            <w:top w:w="0" w:type="dxa"/>
            <w:left w:w="108" w:type="dxa"/>
            <w:bottom w:w="0" w:type="dxa"/>
            <w:right w:w="108" w:type="dxa"/>
          </w:tblCellMar>
        </w:tblPrEx>
        <w:trPr>
          <w:trHeight w:val="266" w:hRule="atLeast"/>
          <w:jc w:val="center"/>
        </w:trPr>
        <w:tc>
          <w:tcPr>
            <w:tcW w:w="9032" w:type="dxa"/>
            <w:gridSpan w:val="7"/>
            <w:tcBorders>
              <w:top w:val="nil"/>
              <w:left w:val="nil"/>
              <w:bottom w:val="single" w:color="auto" w:sz="4" w:space="0"/>
              <w:right w:val="nil"/>
            </w:tcBorders>
            <w:noWrap/>
            <w:vAlign w:val="center"/>
          </w:tcPr>
          <w:p>
            <w:pPr>
              <w:widowControl/>
              <w:ind w:right="120"/>
              <w:jc w:val="left"/>
              <w:rPr>
                <w:rFonts w:hint="eastAsia" w:ascii="仿宋_GB2312" w:hAnsi="仿宋" w:eastAsia="仿宋_GB2312" w:cs="Times New Roman"/>
                <w:color w:val="000000"/>
                <w:kern w:val="0"/>
                <w:sz w:val="24"/>
              </w:rPr>
            </w:pPr>
            <w:r>
              <w:rPr>
                <w:rFonts w:hint="eastAsia" w:ascii="仿宋_GB2312" w:hAnsi="仿宋" w:eastAsia="仿宋_GB2312" w:cs="Times New Roman"/>
                <w:kern w:val="0"/>
                <w:sz w:val="24"/>
              </w:rPr>
              <w:t xml:space="preserve">填报单位：（盖章）                                            </w:t>
            </w:r>
            <w:r>
              <w:rPr>
                <w:rFonts w:hint="eastAsia" w:ascii="仿宋_GB2312" w:hAnsi="仿宋" w:eastAsia="仿宋_GB2312" w:cs="Times New Roman"/>
                <w:color w:val="000000"/>
                <w:kern w:val="0"/>
                <w:sz w:val="24"/>
              </w:rPr>
              <w:t>单位：万元</w:t>
            </w:r>
          </w:p>
        </w:tc>
      </w:tr>
      <w:tr>
        <w:tblPrEx>
          <w:tblCellMar>
            <w:top w:w="0" w:type="dxa"/>
            <w:left w:w="108" w:type="dxa"/>
            <w:bottom w:w="0" w:type="dxa"/>
            <w:right w:w="108" w:type="dxa"/>
          </w:tblCellMar>
        </w:tblPrEx>
        <w:trPr>
          <w:trHeight w:val="407"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项目支出名称</w:t>
            </w:r>
          </w:p>
        </w:tc>
        <w:tc>
          <w:tcPr>
            <w:tcW w:w="2277"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仿宋_GB2312" w:hAnsi="Calibri" w:eastAsia="仿宋_GB2312" w:cs="Times New Roman"/>
                <w:color w:val="000000"/>
                <w:kern w:val="0"/>
                <w:sz w:val="21"/>
                <w:szCs w:val="21"/>
                <w:lang w:val="en-US"/>
              </w:rPr>
            </w:pPr>
            <w:r>
              <w:rPr>
                <w:rFonts w:hint="eastAsia" w:ascii="仿宋_GB2312" w:hAnsi="Calibri" w:eastAsia="仿宋_GB2312" w:cs="Times New Roman"/>
                <w:color w:val="000000"/>
                <w:kern w:val="0"/>
                <w:sz w:val="21"/>
                <w:szCs w:val="21"/>
                <w:lang w:val="en-US" w:eastAsia="zh-CN"/>
              </w:rPr>
              <w:t>湿地巡护及站务费用</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spacing w:line="260" w:lineRule="exact"/>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预算部门</w:t>
            </w:r>
          </w:p>
        </w:tc>
        <w:tc>
          <w:tcPr>
            <w:tcW w:w="1734"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hAnsi="Calibri" w:cs="Times New Roman"/>
                <w:color w:val="000000"/>
                <w:kern w:val="0"/>
                <w:sz w:val="21"/>
                <w:szCs w:val="21"/>
                <w:lang w:val="en-US" w:eastAsia="zh-CN"/>
              </w:rPr>
              <w:t>经建股</w:t>
            </w:r>
            <w:r>
              <w:rPr>
                <w:rFonts w:hint="eastAsia" w:ascii="仿宋_GB2312" w:hAnsi="Calibri" w:eastAsia="仿宋_GB2312" w:cs="Times New Roman"/>
                <w:color w:val="000000"/>
                <w:kern w:val="0"/>
                <w:sz w:val="21"/>
                <w:szCs w:val="21"/>
              </w:rPr>
              <w:t>　</w:t>
            </w:r>
          </w:p>
        </w:tc>
      </w:tr>
      <w:tr>
        <w:tblPrEx>
          <w:tblCellMar>
            <w:top w:w="0" w:type="dxa"/>
            <w:left w:w="108" w:type="dxa"/>
            <w:bottom w:w="0" w:type="dxa"/>
            <w:right w:w="108" w:type="dxa"/>
          </w:tblCellMar>
        </w:tblPrEx>
        <w:trPr>
          <w:trHeight w:val="519"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年度本级</w:t>
            </w:r>
          </w:p>
          <w:p>
            <w:pPr>
              <w:widowControl/>
              <w:spacing w:line="260" w:lineRule="exact"/>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预算金额</w:t>
            </w:r>
          </w:p>
        </w:tc>
        <w:tc>
          <w:tcPr>
            <w:tcW w:w="2277"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default" w:ascii="仿宋_GB2312" w:hAnsi="Calibri" w:eastAsia="仿宋_GB2312" w:cs="Times New Roman"/>
                <w:color w:val="000000"/>
                <w:kern w:val="0"/>
                <w:sz w:val="21"/>
                <w:szCs w:val="21"/>
                <w:lang w:val="en-US" w:eastAsia="zh-CN"/>
              </w:rPr>
            </w:pPr>
            <w:r>
              <w:rPr>
                <w:rFonts w:hint="eastAsia" w:ascii="仿宋_GB2312" w:hAnsi="Calibri" w:eastAsia="仿宋_GB2312" w:cs="Times New Roman"/>
                <w:color w:val="000000"/>
                <w:kern w:val="0"/>
                <w:sz w:val="21"/>
                <w:szCs w:val="21"/>
              </w:rPr>
              <w:t>　</w:t>
            </w:r>
            <w:r>
              <w:rPr>
                <w:rFonts w:hint="eastAsia" w:hAnsi="Calibri" w:cs="Times New Roman"/>
                <w:color w:val="000000"/>
                <w:kern w:val="0"/>
                <w:sz w:val="21"/>
                <w:szCs w:val="21"/>
                <w:lang w:val="en-US" w:eastAsia="zh-CN"/>
              </w:rPr>
              <w:t>120</w:t>
            </w:r>
          </w:p>
        </w:tc>
        <w:tc>
          <w:tcPr>
            <w:tcW w:w="2515"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该项目支出上级资金</w:t>
            </w:r>
          </w:p>
        </w:tc>
        <w:tc>
          <w:tcPr>
            <w:tcW w:w="2397" w:type="dxa"/>
            <w:gridSpan w:val="3"/>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（分级填报）</w:t>
            </w:r>
          </w:p>
        </w:tc>
      </w:tr>
      <w:tr>
        <w:tblPrEx>
          <w:tblCellMar>
            <w:top w:w="0" w:type="dxa"/>
            <w:left w:w="108" w:type="dxa"/>
            <w:bottom w:w="0" w:type="dxa"/>
            <w:right w:w="108" w:type="dxa"/>
          </w:tblCellMar>
        </w:tblPrEx>
        <w:trPr>
          <w:trHeight w:val="432"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项目支出实施期</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jc w:val="center"/>
              <w:rPr>
                <w:rFonts w:hint="default" w:ascii="仿宋_GB2312" w:hAnsi="Calibri" w:eastAsia="仿宋_GB2312" w:cs="Times New Roman"/>
                <w:color w:val="000000"/>
                <w:kern w:val="0"/>
                <w:sz w:val="21"/>
                <w:szCs w:val="21"/>
                <w:lang w:val="en-US" w:eastAsia="zh-CN"/>
              </w:rPr>
            </w:pPr>
            <w:r>
              <w:rPr>
                <w:rFonts w:hint="eastAsia" w:hAnsi="Calibri" w:cs="Times New Roman"/>
                <w:color w:val="000000"/>
                <w:kern w:val="0"/>
                <w:sz w:val="21"/>
                <w:szCs w:val="21"/>
                <w:lang w:val="en-US" w:eastAsia="zh-CN"/>
              </w:rPr>
              <w:t>2023.1--2023.12</w:t>
            </w:r>
          </w:p>
        </w:tc>
      </w:tr>
      <w:tr>
        <w:tblPrEx>
          <w:tblCellMar>
            <w:top w:w="0" w:type="dxa"/>
            <w:left w:w="108" w:type="dxa"/>
            <w:bottom w:w="0" w:type="dxa"/>
            <w:right w:w="108" w:type="dxa"/>
          </w:tblCellMar>
        </w:tblPrEx>
        <w:trPr>
          <w:trHeight w:val="511"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实施期绩效目标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spacing w:line="360" w:lineRule="exact"/>
              <w:rPr>
                <w:rFonts w:hint="eastAsia" w:ascii="仿宋_GB2312" w:hAnsi="Calibri" w:eastAsia="仿宋_GB2312" w:cs="Times New Roman"/>
                <w:color w:val="000000"/>
                <w:kern w:val="0"/>
                <w:sz w:val="21"/>
                <w:szCs w:val="21"/>
                <w:lang w:eastAsia="zh-CN"/>
              </w:rPr>
            </w:pPr>
            <w:r>
              <w:rPr>
                <w:rFonts w:hint="eastAsia" w:ascii="仿宋_GB2312" w:hAnsi="Calibri" w:eastAsia="仿宋_GB2312" w:cs="Times New Roman"/>
                <w:color w:val="000000"/>
                <w:kern w:val="0"/>
                <w:sz w:val="21"/>
                <w:szCs w:val="21"/>
              </w:rPr>
              <w:t>通过项目的顺利实施，对恢复洞庭湖区湿地的生态功能、保护生态系统的完整性、改善珍稀濒危候鸟的栖息环境和恢复生物多样性起到至关重要的作用</w:t>
            </w:r>
            <w:r>
              <w:rPr>
                <w:rFonts w:hint="eastAsia" w:ascii="仿宋_GB2312" w:hAnsi="Calibri" w:eastAsia="仿宋_GB2312" w:cs="Times New Roman"/>
                <w:color w:val="000000"/>
                <w:kern w:val="0"/>
                <w:sz w:val="21"/>
                <w:szCs w:val="21"/>
                <w:lang w:eastAsia="zh-CN"/>
              </w:rPr>
              <w:t>。</w:t>
            </w:r>
          </w:p>
          <w:p>
            <w:pPr>
              <w:widowControl/>
              <w:spacing w:line="360" w:lineRule="exact"/>
              <w:rPr>
                <w:rFonts w:hint="eastAsia" w:ascii="宋体" w:hAnsi="宋体" w:eastAsia="宋体" w:cs="宋体"/>
                <w:color w:val="000000"/>
                <w:kern w:val="0"/>
                <w:sz w:val="24"/>
                <w:szCs w:val="24"/>
                <w:lang w:val="en-US" w:eastAsia="zh-CN" w:bidi="ar-SA"/>
              </w:rPr>
            </w:pPr>
            <w:r>
              <w:rPr>
                <w:rFonts w:hint="eastAsia" w:ascii="仿宋_GB2312" w:hAnsi="Calibri" w:eastAsia="仿宋_GB2312" w:cs="Times New Roman"/>
                <w:color w:val="000000"/>
                <w:kern w:val="0"/>
                <w:sz w:val="21"/>
                <w:szCs w:val="21"/>
              </w:rPr>
              <w:t>有效的保护益阳南洞庭湖自然保护区</w:t>
            </w:r>
            <w:r>
              <w:rPr>
                <w:rFonts w:hint="eastAsia" w:ascii="仿宋_GB2312" w:hAnsi="Calibri" w:eastAsia="仿宋_GB2312" w:cs="Times New Roman"/>
                <w:color w:val="000000"/>
                <w:kern w:val="0"/>
                <w:sz w:val="21"/>
                <w:szCs w:val="21"/>
                <w:lang w:val="en-US" w:eastAsia="zh-CN"/>
              </w:rPr>
              <w:t>沅江</w:t>
            </w:r>
            <w:r>
              <w:rPr>
                <w:rFonts w:hint="eastAsia" w:ascii="仿宋_GB2312" w:hAnsi="Calibri" w:eastAsia="仿宋_GB2312" w:cs="Times New Roman"/>
                <w:color w:val="000000"/>
                <w:kern w:val="0"/>
                <w:sz w:val="21"/>
                <w:szCs w:val="21"/>
              </w:rPr>
              <w:t>区域内的河流水系、平原湖泊和沼泽湿地的生态安全，充分发挥了湿地提供优质水源、净化污染物、控制侵蚀、保护土壤、调节气候等功能</w:t>
            </w:r>
            <w:r>
              <w:rPr>
                <w:rFonts w:hint="eastAsia" w:ascii="仿宋_GB2312" w:hAnsi="Calibri" w:eastAsia="仿宋_GB2312" w:cs="Times New Roman"/>
                <w:color w:val="000000"/>
                <w:kern w:val="0"/>
                <w:sz w:val="21"/>
                <w:szCs w:val="21"/>
                <w:lang w:eastAsia="zh-CN"/>
              </w:rPr>
              <w:t>。</w:t>
            </w:r>
          </w:p>
        </w:tc>
      </w:tr>
      <w:tr>
        <w:tblPrEx>
          <w:tblCellMar>
            <w:top w:w="0" w:type="dxa"/>
            <w:left w:w="108" w:type="dxa"/>
            <w:bottom w:w="0" w:type="dxa"/>
            <w:right w:w="108" w:type="dxa"/>
          </w:tblCellMar>
        </w:tblPrEx>
        <w:trPr>
          <w:trHeight w:val="419" w:hRule="atLeast"/>
          <w:jc w:val="center"/>
        </w:trPr>
        <w:tc>
          <w:tcPr>
            <w:tcW w:w="1843"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本年度绩效目标</w:t>
            </w:r>
          </w:p>
        </w:tc>
        <w:tc>
          <w:tcPr>
            <w:tcW w:w="7189" w:type="dxa"/>
            <w:gridSpan w:val="6"/>
            <w:tcBorders>
              <w:top w:val="single" w:color="auto" w:sz="4" w:space="0"/>
              <w:left w:val="nil"/>
              <w:bottom w:val="single" w:color="auto" w:sz="4" w:space="0"/>
              <w:right w:val="single" w:color="auto" w:sz="4" w:space="0"/>
            </w:tcBorders>
            <w:noWrap w:val="0"/>
            <w:vAlign w:val="center"/>
          </w:tcPr>
          <w:p>
            <w:pPr>
              <w:widowControl/>
              <w:spacing w:line="360" w:lineRule="exact"/>
              <w:rPr>
                <w:rFonts w:hint="eastAsia" w:ascii="宋体" w:hAnsi="宋体" w:eastAsia="宋体" w:cs="宋体"/>
                <w:color w:val="000000"/>
                <w:kern w:val="0"/>
                <w:sz w:val="24"/>
                <w:szCs w:val="24"/>
                <w:lang w:val="en-US" w:eastAsia="zh-CN" w:bidi="ar-SA"/>
              </w:rPr>
            </w:pPr>
            <w:r>
              <w:rPr>
                <w:rFonts w:hint="eastAsia" w:ascii="仿宋_GB2312" w:hAnsi="Calibri" w:eastAsia="仿宋_GB2312" w:cs="Times New Roman"/>
                <w:color w:val="000000"/>
                <w:kern w:val="0"/>
                <w:sz w:val="21"/>
                <w:szCs w:val="21"/>
              </w:rPr>
              <w:t>较好的完成湿地</w:t>
            </w:r>
            <w:r>
              <w:rPr>
                <w:rFonts w:hint="eastAsia" w:ascii="仿宋_GB2312" w:hAnsi="Calibri" w:eastAsia="仿宋_GB2312" w:cs="Times New Roman"/>
                <w:color w:val="000000"/>
                <w:kern w:val="0"/>
                <w:sz w:val="21"/>
                <w:szCs w:val="21"/>
                <w:lang w:val="en-US" w:eastAsia="zh-CN"/>
              </w:rPr>
              <w:t>巡护工作，</w:t>
            </w:r>
            <w:r>
              <w:rPr>
                <w:rFonts w:hint="eastAsia" w:ascii="仿宋_GB2312" w:hAnsi="Calibri" w:eastAsia="仿宋_GB2312" w:cs="Times New Roman"/>
                <w:color w:val="000000"/>
                <w:kern w:val="0"/>
                <w:sz w:val="21"/>
                <w:szCs w:val="21"/>
              </w:rPr>
              <w:t>通过对湿地项目管理做好湿地发展的长期规划</w:t>
            </w:r>
          </w:p>
        </w:tc>
      </w:tr>
      <w:tr>
        <w:tblPrEx>
          <w:tblCellMar>
            <w:top w:w="0" w:type="dxa"/>
            <w:left w:w="108" w:type="dxa"/>
            <w:bottom w:w="0" w:type="dxa"/>
            <w:right w:w="108" w:type="dxa"/>
          </w:tblCellMar>
        </w:tblPrEx>
        <w:trPr>
          <w:trHeight w:val="397" w:hRule="atLeast"/>
          <w:jc w:val="center"/>
        </w:trPr>
        <w:tc>
          <w:tcPr>
            <w:tcW w:w="1843" w:type="dxa"/>
            <w:vMerge w:val="restart"/>
            <w:tcBorders>
              <w:top w:val="nil"/>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本年度</w:t>
            </w:r>
          </w:p>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绩效指标</w:t>
            </w:r>
          </w:p>
        </w:tc>
        <w:tc>
          <w:tcPr>
            <w:tcW w:w="113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一级指标</w:t>
            </w:r>
          </w:p>
        </w:tc>
        <w:tc>
          <w:tcPr>
            <w:tcW w:w="1143"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二级指标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三级指标</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指标值及单位</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绩效标准</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产出指标</w:t>
            </w: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数量指标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rPr>
            </w:pPr>
            <w:r>
              <w:rPr>
                <w:rFonts w:hint="eastAsia" w:ascii="仿宋_GB2312" w:hAnsi="Calibri" w:eastAsia="仿宋_GB2312" w:cs="Times New Roman"/>
                <w:color w:val="000000"/>
                <w:kern w:val="0"/>
                <w:sz w:val="21"/>
                <w:szCs w:val="21"/>
                <w:lang w:val="en-US" w:eastAsia="zh-CN"/>
              </w:rPr>
              <w:t>严格按照预算按量完成任务</w:t>
            </w:r>
            <w:r>
              <w:rPr>
                <w:rFonts w:hint="eastAsia" w:ascii="仿宋_GB2312" w:hAnsi="Calibri" w:eastAsia="仿宋_GB2312" w:cs="Times New Roman"/>
                <w:color w:val="000000"/>
                <w:kern w:val="0"/>
                <w:sz w:val="21"/>
                <w:szCs w:val="21"/>
              </w:rPr>
              <w:t>　</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100%</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100%</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质量指标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严格按照预算按质完成任务</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95%</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95%</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时效指标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按时完成上级及本级部门交办的工作</w:t>
            </w:r>
            <w:r>
              <w:rPr>
                <w:rFonts w:hint="eastAsia" w:ascii="仿宋_GB2312" w:hAnsi="Calibri" w:eastAsia="仿宋_GB2312" w:cs="Times New Roman"/>
                <w:color w:val="000000"/>
                <w:kern w:val="0"/>
                <w:sz w:val="21"/>
                <w:szCs w:val="21"/>
              </w:rPr>
              <w:t>　</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成本指标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严格控制成本，按实际情况使用资金</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97%</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97%</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restart"/>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效益指标</w:t>
            </w:r>
          </w:p>
        </w:tc>
        <w:tc>
          <w:tcPr>
            <w:tcW w:w="1143"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经济效益指标</w:t>
            </w:r>
          </w:p>
        </w:tc>
        <w:tc>
          <w:tcPr>
            <w:tcW w:w="3178" w:type="dxa"/>
            <w:gridSpan w:val="2"/>
            <w:tcBorders>
              <w:top w:val="single" w:color="auto" w:sz="4" w:space="0"/>
              <w:left w:val="nil"/>
              <w:bottom w:val="single" w:color="auto" w:sz="4" w:space="0"/>
              <w:right w:val="single" w:color="000000"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生态环境的改善带动</w:t>
            </w:r>
            <w:r>
              <w:rPr>
                <w:rFonts w:hint="eastAsia" w:ascii="仿宋_GB2312" w:hAnsi="Calibri" w:eastAsia="仿宋_GB2312" w:cs="Times New Roman"/>
                <w:color w:val="000000"/>
                <w:kern w:val="0"/>
                <w:sz w:val="21"/>
                <w:szCs w:val="21"/>
              </w:rPr>
              <w:t>休闲</w:t>
            </w:r>
            <w:r>
              <w:rPr>
                <w:rFonts w:hint="eastAsia" w:ascii="仿宋_GB2312" w:hAnsi="Calibri" w:eastAsia="仿宋_GB2312" w:cs="Times New Roman"/>
                <w:color w:val="000000"/>
                <w:kern w:val="0"/>
                <w:sz w:val="21"/>
                <w:szCs w:val="21"/>
                <w:lang w:val="en-US" w:eastAsia="zh-CN"/>
              </w:rPr>
              <w:t>旅游</w:t>
            </w:r>
            <w:r>
              <w:rPr>
                <w:rFonts w:hint="eastAsia" w:ascii="仿宋_GB2312" w:hAnsi="Calibri" w:eastAsia="仿宋_GB2312" w:cs="Times New Roman"/>
                <w:color w:val="000000"/>
                <w:kern w:val="0"/>
                <w:sz w:val="21"/>
                <w:szCs w:val="21"/>
              </w:rPr>
              <w:t>和文化科</w:t>
            </w:r>
            <w:r>
              <w:rPr>
                <w:rFonts w:hint="eastAsia" w:ascii="仿宋_GB2312" w:hAnsi="Calibri" w:eastAsia="仿宋_GB2312" w:cs="Times New Roman"/>
                <w:color w:val="000000"/>
                <w:kern w:val="0"/>
                <w:sz w:val="21"/>
                <w:szCs w:val="21"/>
                <w:lang w:val="en-US" w:eastAsia="zh-CN"/>
              </w:rPr>
              <w:t>研，具有显著的经济效益</w:t>
            </w:r>
          </w:p>
        </w:tc>
        <w:tc>
          <w:tcPr>
            <w:tcW w:w="962"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95%</w:t>
            </w:r>
          </w:p>
        </w:tc>
        <w:tc>
          <w:tcPr>
            <w:tcW w:w="772"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95%</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社会效益指标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rPr>
              <w:t>提高了全民湿地保护和野生动物保护意识，科学认识了栖息地的重要性，具有显著的社会效益。</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生态效益指标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rPr>
              <w:t>有效地改善了湿地生态环境，生物多样性逐步提升，环境容量和生态承载力明显增强，具有显著的生态效益。</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43" w:type="dxa"/>
            <w:tcBorders>
              <w:top w:val="single" w:color="auto" w:sz="4" w:space="0"/>
              <w:left w:val="single" w:color="auto" w:sz="4" w:space="0"/>
              <w:bottom w:val="single" w:color="000000" w:sz="4" w:space="0"/>
              <w:right w:val="single" w:color="000000"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可持续影响指标</w:t>
            </w:r>
          </w:p>
        </w:tc>
        <w:tc>
          <w:tcPr>
            <w:tcW w:w="3178" w:type="dxa"/>
            <w:gridSpan w:val="2"/>
            <w:tcBorders>
              <w:top w:val="single" w:color="auto" w:sz="4" w:space="0"/>
              <w:left w:val="nil"/>
              <w:bottom w:val="single" w:color="auto" w:sz="4" w:space="0"/>
              <w:right w:val="single" w:color="000000"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rPr>
              <w:t>提高</w:t>
            </w:r>
            <w:r>
              <w:rPr>
                <w:rFonts w:hint="eastAsia" w:ascii="仿宋_GB2312" w:hAnsi="Calibri" w:eastAsia="仿宋_GB2312" w:cs="Times New Roman"/>
                <w:color w:val="000000"/>
                <w:kern w:val="0"/>
                <w:sz w:val="21"/>
                <w:szCs w:val="21"/>
                <w:lang w:val="en-US" w:eastAsia="zh-CN"/>
              </w:rPr>
              <w:t>保护</w:t>
            </w:r>
            <w:r>
              <w:rPr>
                <w:rFonts w:hint="eastAsia" w:ascii="仿宋_GB2312" w:hAnsi="Calibri" w:eastAsia="仿宋_GB2312" w:cs="Times New Roman"/>
                <w:color w:val="000000"/>
                <w:kern w:val="0"/>
                <w:sz w:val="21"/>
                <w:szCs w:val="21"/>
              </w:rPr>
              <w:t>区内湿地的保护水平，实现湿地资源的可持续利用，湿地生态系统逐步完善和稳定，生物多样性提高，湿地生态系统功能正常，可持续影响显著。　</w:t>
            </w:r>
          </w:p>
        </w:tc>
        <w:tc>
          <w:tcPr>
            <w:tcW w:w="962"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c>
          <w:tcPr>
            <w:tcW w:w="772" w:type="dxa"/>
            <w:tcBorders>
              <w:top w:val="single" w:color="auto" w:sz="4" w:space="0"/>
              <w:left w:val="nil"/>
              <w:bottom w:val="single" w:color="auto" w:sz="4" w:space="0"/>
              <w:right w:val="single" w:color="000000"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99%</w:t>
            </w:r>
          </w:p>
        </w:tc>
      </w:tr>
      <w:tr>
        <w:tblPrEx>
          <w:tblCellMar>
            <w:top w:w="0" w:type="dxa"/>
            <w:left w:w="108" w:type="dxa"/>
            <w:bottom w:w="0" w:type="dxa"/>
            <w:right w:w="108" w:type="dxa"/>
          </w:tblCellMar>
        </w:tblPrEx>
        <w:trPr>
          <w:trHeight w:val="397" w:hRule="atLeast"/>
          <w:jc w:val="center"/>
        </w:trPr>
        <w:tc>
          <w:tcPr>
            <w:tcW w:w="1843"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34" w:type="dxa"/>
            <w:vMerge w:val="continue"/>
            <w:tcBorders>
              <w:top w:val="single" w:color="auto" w:sz="4" w:space="0"/>
              <w:left w:val="single" w:color="auto" w:sz="4" w:space="0"/>
              <w:bottom w:val="single" w:color="000000" w:sz="4" w:space="0"/>
              <w:right w:val="single" w:color="000000" w:sz="4" w:space="0"/>
            </w:tcBorders>
            <w:noWrap w:val="0"/>
            <w:vAlign w:val="center"/>
          </w:tcPr>
          <w:p>
            <w:pPr>
              <w:widowControl/>
              <w:jc w:val="left"/>
              <w:rPr>
                <w:rFonts w:hint="eastAsia" w:ascii="仿宋_GB2312" w:hAnsi="Calibri" w:eastAsia="仿宋_GB2312" w:cs="Times New Roman"/>
                <w:color w:val="000000"/>
                <w:kern w:val="0"/>
                <w:sz w:val="21"/>
                <w:szCs w:val="21"/>
              </w:rPr>
            </w:pPr>
          </w:p>
        </w:tc>
        <w:tc>
          <w:tcPr>
            <w:tcW w:w="114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rPr>
            </w:pPr>
            <w:r>
              <w:rPr>
                <w:rFonts w:hint="eastAsia" w:ascii="仿宋_GB2312" w:hAnsi="Calibri" w:eastAsia="仿宋_GB2312" w:cs="Times New Roman"/>
                <w:color w:val="000000"/>
                <w:kern w:val="0"/>
                <w:sz w:val="21"/>
                <w:szCs w:val="21"/>
              </w:rPr>
              <w:t>社会公众或服务对象满意度指标</w:t>
            </w:r>
          </w:p>
        </w:tc>
        <w:tc>
          <w:tcPr>
            <w:tcW w:w="3178" w:type="dxa"/>
            <w:gridSpan w:val="2"/>
            <w:tcBorders>
              <w:top w:val="single" w:color="auto" w:sz="4" w:space="0"/>
              <w:left w:val="nil"/>
              <w:bottom w:val="single" w:color="auto" w:sz="4" w:space="0"/>
              <w:right w:val="single" w:color="auto" w:sz="4" w:space="0"/>
            </w:tcBorders>
            <w:noWrap w:val="0"/>
            <w:vAlign w:val="center"/>
          </w:tcPr>
          <w:p>
            <w:pPr>
              <w:widowControl/>
              <w:jc w:val="left"/>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rPr>
              <w:t>生物多样性提高，湿地生态系统功能正常，可持续影响显著。提高了群众满意度，满意度</w:t>
            </w:r>
            <w:r>
              <w:rPr>
                <w:rFonts w:hint="eastAsia" w:ascii="仿宋_GB2312" w:hAnsi="Calibri" w:eastAsia="仿宋_GB2312" w:cs="Times New Roman"/>
                <w:color w:val="000000"/>
                <w:kern w:val="0"/>
                <w:sz w:val="21"/>
                <w:szCs w:val="21"/>
                <w:lang w:val="en-US" w:eastAsia="zh-CN"/>
              </w:rPr>
              <w:t>96</w:t>
            </w:r>
            <w:r>
              <w:rPr>
                <w:rFonts w:hint="eastAsia" w:ascii="仿宋_GB2312" w:hAnsi="Calibri" w:eastAsia="仿宋_GB2312" w:cs="Times New Roman"/>
                <w:color w:val="000000"/>
                <w:kern w:val="0"/>
                <w:sz w:val="21"/>
                <w:szCs w:val="21"/>
              </w:rPr>
              <w:t>%。　</w:t>
            </w:r>
          </w:p>
        </w:tc>
        <w:tc>
          <w:tcPr>
            <w:tcW w:w="96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r>
              <w:rPr>
                <w:rFonts w:hint="eastAsia" w:ascii="仿宋_GB2312" w:hAnsi="Calibri" w:eastAsia="仿宋_GB2312" w:cs="Times New Roman"/>
                <w:color w:val="000000"/>
                <w:kern w:val="0"/>
                <w:sz w:val="21"/>
                <w:szCs w:val="21"/>
                <w:lang w:val="en-US" w:eastAsia="zh-CN"/>
              </w:rPr>
              <w:t>96%</w:t>
            </w:r>
          </w:p>
        </w:tc>
        <w:tc>
          <w:tcPr>
            <w:tcW w:w="77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仿宋_GB2312" w:hAnsi="Calibri" w:eastAsia="仿宋_GB2312" w:cs="Times New Roman"/>
                <w:color w:val="000000"/>
                <w:kern w:val="0"/>
                <w:sz w:val="21"/>
                <w:szCs w:val="21"/>
                <w:lang w:val="en-US" w:eastAsia="zh-CN" w:bidi="ar-SA"/>
              </w:rPr>
            </w:pPr>
            <w:bookmarkStart w:id="0" w:name="_GoBack"/>
            <w:r>
              <w:rPr>
                <w:rFonts w:hint="eastAsia" w:ascii="仿宋_GB2312" w:hAnsi="Calibri" w:eastAsia="仿宋_GB2312" w:cs="Times New Roman"/>
                <w:color w:val="000000"/>
                <w:kern w:val="0"/>
                <w:sz w:val="21"/>
                <w:szCs w:val="21"/>
                <w:lang w:val="en-US" w:eastAsia="zh-CN"/>
              </w:rPr>
              <w:t>96%</w:t>
            </w:r>
          </w:p>
          <w:bookmarkEnd w:id="0"/>
        </w:tc>
      </w:tr>
    </w:tbl>
    <w:p>
      <w:pPr>
        <w:widowControl/>
        <w:tabs>
          <w:tab w:val="left" w:pos="1333"/>
          <w:tab w:val="left" w:pos="3793"/>
          <w:tab w:val="left" w:pos="5853"/>
        </w:tabs>
        <w:jc w:val="left"/>
      </w:pPr>
      <w:r>
        <w:rPr>
          <w:rFonts w:hint="eastAsia" w:ascii="仿宋_GB2312" w:hAnsi="Calibri" w:eastAsia="仿宋_GB2312" w:cs="Times New Roman"/>
          <w:kern w:val="0"/>
          <w:sz w:val="21"/>
          <w:szCs w:val="21"/>
        </w:rPr>
        <w:t>填表人：</w:t>
      </w:r>
      <w:r>
        <w:rPr>
          <w:rFonts w:hint="eastAsia" w:hAnsi="Calibri" w:cs="Times New Roman"/>
          <w:kern w:val="0"/>
          <w:sz w:val="21"/>
          <w:szCs w:val="21"/>
          <w:lang w:val="en-US" w:eastAsia="zh-CN"/>
        </w:rPr>
        <w:t>肖向前</w:t>
      </w:r>
      <w:r>
        <w:rPr>
          <w:rFonts w:hint="eastAsia" w:ascii="仿宋_GB2312" w:hAnsi="Calibri" w:eastAsia="仿宋_GB2312" w:cs="Times New Roman"/>
          <w:kern w:val="0"/>
          <w:sz w:val="21"/>
          <w:szCs w:val="21"/>
        </w:rPr>
        <w:t xml:space="preserve">  联系电</w:t>
      </w:r>
      <w:r>
        <w:rPr>
          <w:rFonts w:hint="eastAsia" w:hAnsi="Calibri" w:cs="Times New Roman"/>
          <w:kern w:val="0"/>
          <w:sz w:val="21"/>
          <w:szCs w:val="21"/>
          <w:lang w:val="en-US" w:eastAsia="zh-CN"/>
        </w:rPr>
        <w:t xml:space="preserve">话：15873713599 </w:t>
      </w:r>
      <w:r>
        <w:rPr>
          <w:rFonts w:hint="eastAsia" w:ascii="仿宋_GB2312" w:hAnsi="Calibri" w:eastAsia="仿宋_GB2312" w:cs="Times New Roman"/>
          <w:kern w:val="0"/>
          <w:sz w:val="21"/>
          <w:szCs w:val="21"/>
        </w:rPr>
        <w:t>填报日期：</w:t>
      </w:r>
      <w:r>
        <w:rPr>
          <w:rFonts w:hint="eastAsia" w:hAnsi="Calibri" w:cs="Times New Roman"/>
          <w:kern w:val="0"/>
          <w:sz w:val="21"/>
          <w:szCs w:val="21"/>
          <w:lang w:val="en-US" w:eastAsia="zh-CN"/>
        </w:rPr>
        <w:t xml:space="preserve">2023.8.21 </w:t>
      </w:r>
      <w:r>
        <w:rPr>
          <w:rFonts w:hint="eastAsia" w:ascii="仿宋_GB2312" w:hAnsi="Calibri" w:eastAsia="仿宋_GB2312" w:cs="Times New Roman"/>
          <w:kern w:val="0"/>
          <w:sz w:val="21"/>
          <w:szCs w:val="21"/>
        </w:rPr>
        <w:t>单位负责人签字：</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1MTYxZDZkZjQzYmJkN2Y1ODdiZDQ4ZDE5YjVkOWIifQ=="/>
  </w:docVars>
  <w:rsids>
    <w:rsidRoot w:val="6BE03945"/>
    <w:rsid w:val="6BE03945"/>
    <w:rsid w:val="7F05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Times New Roman"/>
      <w:kern w:val="2"/>
      <w:sz w:val="30"/>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BodyText1I"/>
    <w:basedOn w:val="1"/>
    <w:qFormat/>
    <w:uiPriority w:val="99"/>
    <w:pPr>
      <w:snapToGrid w:val="0"/>
      <w:spacing w:line="360" w:lineRule="auto"/>
      <w:ind w:firstLine="420" w:firstLineChars="100"/>
    </w:pPr>
    <w:rPr>
      <w:sz w:val="28"/>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2023-08-16T07:19:00Z</dcterms:created>
  <dc:creator>Administrator</dc:creator>
  <cp:lastModifiedBy>何玺鑫</cp:lastModifiedBy>
  <dcterms:modified xsi:type="dcterms:W3CDTF">2023-08-22T01:42:27Z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20F95BEB7A494052A0C3E87D283FC6E4_13</vt:lpwstr>
  </property>
</Properties>
</file>