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3"/>
        <w:jc w:val="center"/>
        <w:rPr>
          <w:sz w:val="56"/>
          <w:szCs w:val="56"/>
        </w:rPr>
      </w:pPr>
    </w:p>
    <w:p>
      <w:pPr>
        <w:pStyle w:val="13"/>
        <w:jc w:val="center"/>
        <w:rPr>
          <w:sz w:val="56"/>
          <w:szCs w:val="56"/>
        </w:rPr>
      </w:pPr>
    </w:p>
    <w:p>
      <w:pPr>
        <w:pStyle w:val="13"/>
        <w:jc w:val="center"/>
        <w:rPr>
          <w:sz w:val="84"/>
          <w:szCs w:val="84"/>
        </w:rPr>
      </w:pPr>
    </w:p>
    <w:p>
      <w:pPr>
        <w:pStyle w:val="13"/>
        <w:jc w:val="center"/>
        <w:rPr>
          <w:sz w:val="84"/>
          <w:szCs w:val="84"/>
        </w:rPr>
      </w:pP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2</w:t>
      </w:r>
      <w:r>
        <w:rPr>
          <w:rFonts w:hint="eastAsia" w:ascii="方正小标宋_GBK" w:hAnsi="方正小标宋_GBK" w:eastAsia="方正小标宋_GBK" w:cs="方正小标宋_GBK"/>
          <w:sz w:val="84"/>
          <w:szCs w:val="84"/>
        </w:rPr>
        <w:t>年度</w:t>
      </w:r>
    </w:p>
    <w:p>
      <w:pPr>
        <w:pStyle w:val="13"/>
        <w:jc w:val="center"/>
        <w:rPr>
          <w:rFonts w:hint="eastAsia" w:ascii="方正小标宋_GBK" w:hAnsi="方正小标宋_GBK" w:eastAsia="方正小标宋_GBK" w:cs="方正小标宋_GBK"/>
          <w:sz w:val="84"/>
          <w:szCs w:val="84"/>
          <w:lang w:val="en-US" w:eastAsia="zh-CN"/>
        </w:rPr>
      </w:pPr>
      <w:r>
        <w:rPr>
          <w:rFonts w:hint="eastAsia" w:ascii="方正小标宋_GBK" w:hAnsi="方正小标宋_GBK" w:eastAsia="方正小标宋_GBK" w:cs="方正小标宋_GBK"/>
          <w:sz w:val="84"/>
          <w:szCs w:val="84"/>
          <w:lang w:val="en-US" w:eastAsia="zh-CN"/>
        </w:rPr>
        <w:t>沅江市水利局（系统）</w:t>
      </w: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部门</w:t>
      </w:r>
      <w:r>
        <w:rPr>
          <w:rFonts w:hint="eastAsia" w:ascii="方正小标宋_GBK" w:hAnsi="方正小标宋_GBK" w:eastAsia="方正小标宋_GBK" w:cs="方正小标宋_GBK"/>
          <w:sz w:val="84"/>
          <w:szCs w:val="84"/>
        </w:rPr>
        <w:t>决算</w:t>
      </w:r>
    </w:p>
    <w:p>
      <w:pPr>
        <w:pStyle w:val="13"/>
        <w:jc w:val="both"/>
        <w:rPr>
          <w:sz w:val="56"/>
          <w:szCs w:val="56"/>
        </w:rPr>
      </w:pPr>
      <w:bookmarkStart w:id="3" w:name="_GoBack"/>
      <w:bookmarkEnd w:id="3"/>
    </w:p>
    <w:p>
      <w:pPr>
        <w:pStyle w:val="13"/>
        <w:jc w:val="center"/>
        <w:rPr>
          <w:sz w:val="56"/>
          <w:szCs w:val="56"/>
        </w:rPr>
      </w:pPr>
    </w:p>
    <w:p>
      <w:pPr>
        <w:pStyle w:val="13"/>
        <w:jc w:val="center"/>
        <w:rPr>
          <w:sz w:val="32"/>
          <w:szCs w:val="32"/>
        </w:rPr>
      </w:pPr>
    </w:p>
    <w:p>
      <w:pPr>
        <w:pStyle w:val="13"/>
        <w:jc w:val="center"/>
        <w:rPr>
          <w:sz w:val="32"/>
          <w:szCs w:val="32"/>
        </w:rPr>
      </w:pPr>
    </w:p>
    <w:p>
      <w:pPr>
        <w:pStyle w:val="13"/>
        <w:jc w:val="center"/>
        <w:rPr>
          <w:sz w:val="32"/>
          <w:szCs w:val="32"/>
        </w:rPr>
      </w:pPr>
    </w:p>
    <w:p>
      <w:pPr>
        <w:pStyle w:val="13"/>
        <w:jc w:val="center"/>
        <w:rPr>
          <w:sz w:val="32"/>
          <w:szCs w:val="32"/>
        </w:rPr>
      </w:pPr>
    </w:p>
    <w:p>
      <w:pPr>
        <w:pStyle w:val="13"/>
        <w:jc w:val="center"/>
        <w:rPr>
          <w:sz w:val="32"/>
          <w:szCs w:val="32"/>
        </w:rPr>
      </w:pPr>
    </w:p>
    <w:p>
      <w:pPr>
        <w:pStyle w:val="13"/>
        <w:spacing w:line="540" w:lineRule="exact"/>
        <w:jc w:val="center"/>
        <w:rPr>
          <w:sz w:val="56"/>
          <w:szCs w:val="56"/>
        </w:rPr>
      </w:pPr>
    </w:p>
    <w:p>
      <w:pPr>
        <w:pStyle w:val="13"/>
        <w:spacing w:line="500" w:lineRule="exact"/>
        <w:jc w:val="both"/>
        <w:rPr>
          <w:b/>
          <w:sz w:val="36"/>
          <w:szCs w:val="28"/>
        </w:rPr>
      </w:pPr>
    </w:p>
    <w:p>
      <w:pPr>
        <w:pStyle w:val="13"/>
        <w:spacing w:line="500" w:lineRule="exact"/>
        <w:jc w:val="center"/>
        <w:rPr>
          <w:b/>
          <w:sz w:val="36"/>
          <w:szCs w:val="28"/>
        </w:rPr>
      </w:pPr>
      <w:r>
        <w:rPr>
          <w:rFonts w:hint="eastAsia"/>
          <w:b/>
          <w:sz w:val="36"/>
          <w:szCs w:val="28"/>
        </w:rPr>
        <w:t>目录</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hAnsi="黑体" w:cs="黑体"/>
          <w:b w:val="0"/>
          <w:bCs/>
          <w:sz w:val="28"/>
          <w:szCs w:val="28"/>
          <w:lang w:val="en-US" w:eastAsia="zh-CN"/>
        </w:rPr>
        <w:t>沅江市水利局</w:t>
      </w:r>
      <w:r>
        <w:rPr>
          <w:rFonts w:hint="eastAsia" w:ascii="黑体" w:hAnsi="黑体" w:eastAsia="黑体" w:cs="黑体"/>
          <w:b w:val="0"/>
          <w:bCs/>
          <w:sz w:val="28"/>
          <w:szCs w:val="28"/>
        </w:rPr>
        <w:t>概况</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pPr>
        <w:pStyle w:val="13"/>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十三、关于预算绩效情况的说明</w:t>
      </w:r>
    </w:p>
    <w:p>
      <w:pPr>
        <w:pStyle w:val="13"/>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pPr>
        <w:pStyle w:val="13"/>
        <w:jc w:val="center"/>
        <w:rPr>
          <w:rFonts w:hint="eastAsia" w:ascii="方正小标宋_GBK" w:hAnsi="方正小标宋_GBK" w:eastAsia="方正小标宋_GBK" w:cs="方正小标宋_GBK"/>
          <w:sz w:val="84"/>
          <w:szCs w:val="84"/>
        </w:rPr>
      </w:pP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val="en-US" w:eastAsia="zh-CN"/>
        </w:rPr>
        <w:t>沅江市水利局</w:t>
      </w:r>
      <w:r>
        <w:rPr>
          <w:rFonts w:hint="eastAsia" w:ascii="方正小标宋_GBK" w:hAnsi="方正小标宋_GBK" w:eastAsia="方正小标宋_GBK" w:cs="方正小标宋_GBK"/>
          <w:sz w:val="84"/>
          <w:szCs w:val="84"/>
        </w:rPr>
        <w:t>概况</w:t>
      </w:r>
    </w:p>
    <w:p>
      <w:pPr>
        <w:jc w:val="center"/>
        <w:rPr>
          <w:rFonts w:hint="eastAsia" w:ascii="方正小标宋_GBK" w:hAnsi="方正小标宋_GBK" w:eastAsia="方正小标宋_GBK" w:cs="方正小标宋_GBK"/>
          <w:sz w:val="72"/>
          <w:szCs w:val="72"/>
        </w:rPr>
      </w:pPr>
    </w:p>
    <w:p>
      <w:pPr>
        <w:jc w:val="center"/>
        <w:rPr>
          <w:rFonts w:hint="eastAsia" w:ascii="方正小标宋_GBK" w:hAnsi="方正小标宋_GBK" w:eastAsia="方正小标宋_GBK" w:cs="方正小标宋_GBK"/>
          <w:sz w:val="72"/>
          <w:szCs w:val="72"/>
        </w:rPr>
      </w:pPr>
    </w:p>
    <w:p>
      <w:pPr>
        <w:jc w:val="center"/>
        <w:rPr>
          <w:sz w:val="72"/>
          <w:szCs w:val="72"/>
        </w:rPr>
      </w:pPr>
    </w:p>
    <w:p>
      <w:pPr>
        <w:jc w:val="center"/>
        <w:rPr>
          <w:sz w:val="72"/>
          <w:szCs w:val="72"/>
        </w:rPr>
      </w:pPr>
    </w:p>
    <w:p>
      <w:pPr>
        <w:jc w:val="center"/>
        <w:rPr>
          <w:sz w:val="72"/>
          <w:szCs w:val="72"/>
        </w:rPr>
      </w:pPr>
    </w:p>
    <w:p>
      <w:pPr>
        <w:pStyle w:val="14"/>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（一）贯彻国家有关水利的法律法规和国家水利工作的方针、政策,并监督检查执行。</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（二）拟订全市水利工作的发展战略、中长期规划和年度计划,并监督实施。</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（三）负责全市水资源(含中水、地表水、地下水)的统一管理, 维护正常的水事秩序；拟订水资源保护规划,组织指导水功能区的划分, 提出不同水功能区限制排污总量控制意见；制定全市水长期供求计划、水量分配方案,保护水资源并负责监督管理；组织实施取水许可制度,管理城乡节约用水工作；</w:t>
      </w:r>
      <w:r>
        <w:rPr>
          <w:rFonts w:hint="eastAsia" w:ascii="Times New Roman" w:hAnsi="Times New Roman" w:eastAsia="仿宋_GB2312" w:cs="仿宋_GB2312"/>
          <w:sz w:val="32"/>
          <w:szCs w:val="32"/>
          <w:lang w:val="en-US" w:eastAsia="zh-CN"/>
        </w:rPr>
        <w:t>负责</w:t>
      </w:r>
      <w:r>
        <w:rPr>
          <w:rFonts w:hint="eastAsia" w:ascii="Times New Roman" w:hAnsi="Times New Roman" w:eastAsia="仿宋_GB2312" w:cs="仿宋_GB2312"/>
          <w:sz w:val="32"/>
          <w:szCs w:val="32"/>
        </w:rPr>
        <w:t>水资源费的征收。</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（四）制定水利行业经济发展规划；负责水利行业的国有资产保值增值的监管, 对水利资金的使用进行监管；负责管理全市水利经济工作 。</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五）负责全市水利建设与管理。负责组织编制、审查水利基建项目可行性报告、规划和设计；负责对全市水利工程建设质量进行监督；负责管理一线防洪大提、重点间提、渍堤和跨乡镇的重要水利工程；负责水利血防灭螺工作。</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六）负责全市河道、湖泊、水库的综合治理工作；负责组织、实施、指导水利设施、水域及岸线的管理与保护，组织实施指导河口滩洲的治理和开发，负责河道采砂、取土管理费的征收；协同有关部门组织对河道疏浚和防洪大堤的加固,负责汛期河道、湖泊的控障、清障管理工作。</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（七）负责全市水土保持、水土保持监测和综合防治工作；负责水土保持规费征收制度的实施。</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（八）承担市防汛抗旱指挥部的日常工作；组织、协调、监督、指导全市防汛抗旱工作,对防汛物资的采购、储备、供应、调度实行行业管理；承担水利突发公共事件的应急管理工作。</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（九）指导农村水利工作；组织协调水利建设、乡镇供水、节水灌溉工作；管理和监督全市机电排灌的规划建设, 指导全市机电排灌设施的维修工作 。</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（十）负责全市农村饮水安全工程的规划、建设和管理工作。</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（十一）负责全市蓄洪安全建设, 工程运行管理与维护。</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（十二）负责水政监察和水行政执法,负责调处、仲裁水事纠纷。</w:t>
      </w:r>
    </w:p>
    <w:p>
      <w:pPr>
        <w:widowControl/>
        <w:spacing w:line="600" w:lineRule="exact"/>
        <w:ind w:firstLine="640"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（十三）承办市委、 市人民政府及上级业务部门交办的其他工作。</w:t>
      </w:r>
    </w:p>
    <w:p>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pPr>
        <w:widowControl/>
        <w:spacing w:line="600" w:lineRule="exact"/>
        <w:ind w:firstLine="640" w:firstLineChars="200"/>
        <w:rPr>
          <w:rFonts w:hint="eastAsia" w:ascii="Times New Roman" w:hAnsi="Times New Roman" w:eastAsia="仿宋_GB2312" w:cs="仿宋_GB2312"/>
          <w:bCs/>
          <w:kern w:val="0"/>
          <w:sz w:val="32"/>
          <w:szCs w:val="32"/>
        </w:rPr>
      </w:pPr>
      <w:r>
        <w:rPr>
          <w:rFonts w:hint="eastAsia" w:ascii="Times New Roman" w:hAnsi="Times New Roman" w:eastAsia="仿宋_GB2312" w:cs="仿宋_GB2312"/>
          <w:bCs/>
          <w:kern w:val="0"/>
          <w:sz w:val="32"/>
          <w:szCs w:val="32"/>
        </w:rPr>
        <w:t>（一）内设机构设置。</w:t>
      </w:r>
      <w:r>
        <w:rPr>
          <w:rFonts w:hint="eastAsia" w:ascii="Times New Roman" w:hAnsi="Times New Roman" w:eastAsia="仿宋_GB2312" w:cs="仿宋_GB2312"/>
          <w:bCs/>
          <w:kern w:val="0"/>
          <w:sz w:val="32"/>
          <w:szCs w:val="32"/>
          <w:lang w:val="en-US" w:eastAsia="zh-CN"/>
        </w:rPr>
        <w:t>水利局</w:t>
      </w:r>
      <w:r>
        <w:rPr>
          <w:rFonts w:hint="eastAsia" w:ascii="Times New Roman" w:hAnsi="Times New Roman" w:eastAsia="仿宋_GB2312" w:cs="仿宋_GB2312"/>
          <w:bCs/>
          <w:kern w:val="0"/>
          <w:sz w:val="32"/>
          <w:szCs w:val="32"/>
        </w:rPr>
        <w:t>内设机构包括：</w:t>
      </w:r>
      <w:r>
        <w:rPr>
          <w:rFonts w:hint="eastAsia" w:ascii="仿宋_GB2312" w:hAnsi="仿宋" w:eastAsia="仿宋_GB2312"/>
          <w:sz w:val="32"/>
          <w:szCs w:val="32"/>
          <w:lang w:val="en-US" w:eastAsia="zh-CN"/>
        </w:rPr>
        <w:t>2022年沅江市水利局所属事业单位17个，其中：基层水管站14个（其中12个因改革归属于其所在镇街道，但其财务实行五年过渡期，由市水利局实行综合预算管理）、局直属独立二级事业机构4个。机构变动的主要原因是：改制单位已不纳入局机构管理。</w:t>
      </w:r>
    </w:p>
    <w:p>
      <w:pPr>
        <w:widowControl/>
        <w:spacing w:line="600" w:lineRule="exact"/>
        <w:ind w:firstLine="640" w:firstLineChars="200"/>
        <w:rPr>
          <w:rFonts w:hint="default" w:ascii="仿宋_GB2312" w:eastAsia="仿宋_GB2312" w:hAnsiTheme="minorEastAsia"/>
          <w:sz w:val="28"/>
          <w:szCs w:val="32"/>
          <w:lang w:val="en-US"/>
        </w:rPr>
      </w:pPr>
      <w:r>
        <w:rPr>
          <w:rFonts w:hint="eastAsia" w:ascii="Times New Roman" w:hAnsi="Times New Roman" w:eastAsia="仿宋_GB2312" w:cs="仿宋_GB2312"/>
          <w:bCs/>
          <w:kern w:val="0"/>
          <w:sz w:val="32"/>
          <w:szCs w:val="32"/>
        </w:rPr>
        <w:t>（二）决算单位构成</w:t>
      </w:r>
      <w:r>
        <w:rPr>
          <w:rFonts w:hint="eastAsia" w:ascii="Times New Roman" w:hAnsi="Times New Roman" w:eastAsia="仿宋_GB2312" w:cs="仿宋_GB2312"/>
          <w:bCs/>
          <w:kern w:val="0"/>
          <w:sz w:val="32"/>
          <w:szCs w:val="32"/>
          <w:lang w:val="en-US" w:eastAsia="zh-CN"/>
        </w:rPr>
        <w:t>水利局</w:t>
      </w:r>
      <w:r>
        <w:rPr>
          <w:rFonts w:hint="eastAsia" w:ascii="Times New Roman" w:hAnsi="Times New Roman" w:eastAsia="仿宋_GB2312" w:cs="仿宋_GB2312"/>
          <w:bCs/>
          <w:kern w:val="0"/>
          <w:sz w:val="32"/>
          <w:szCs w:val="32"/>
        </w:rPr>
        <w:t>202</w:t>
      </w:r>
      <w:r>
        <w:rPr>
          <w:rFonts w:hint="eastAsia" w:ascii="Times New Roman" w:hAnsi="Times New Roman" w:eastAsia="仿宋_GB2312" w:cs="仿宋_GB2312"/>
          <w:bCs/>
          <w:kern w:val="0"/>
          <w:sz w:val="32"/>
          <w:szCs w:val="32"/>
          <w:lang w:val="en-US" w:eastAsia="zh-CN"/>
        </w:rPr>
        <w:t>2</w:t>
      </w:r>
      <w:r>
        <w:rPr>
          <w:rFonts w:hint="eastAsia" w:ascii="Times New Roman" w:hAnsi="Times New Roman" w:eastAsia="仿宋_GB2312" w:cs="仿宋_GB2312"/>
          <w:bCs/>
          <w:kern w:val="0"/>
          <w:sz w:val="32"/>
          <w:szCs w:val="32"/>
        </w:rPr>
        <w:t>年部门决算汇总公开单位构成包括：</w:t>
      </w:r>
      <w:r>
        <w:rPr>
          <w:rFonts w:hint="eastAsia" w:ascii="Times New Roman" w:hAnsi="Times New Roman" w:eastAsia="仿宋_GB2312" w:cs="仿宋_GB2312"/>
          <w:bCs/>
          <w:kern w:val="0"/>
          <w:sz w:val="32"/>
          <w:szCs w:val="32"/>
          <w:lang w:val="en-US" w:eastAsia="zh-CN"/>
        </w:rPr>
        <w:t>水利局</w:t>
      </w:r>
      <w:r>
        <w:rPr>
          <w:rFonts w:hint="eastAsia" w:ascii="Times New Roman" w:hAnsi="Times New Roman" w:eastAsia="仿宋_GB2312" w:cs="仿宋_GB2312"/>
          <w:bCs/>
          <w:kern w:val="0"/>
          <w:sz w:val="32"/>
          <w:szCs w:val="32"/>
        </w:rPr>
        <w:t>本级以及</w:t>
      </w:r>
      <w:r>
        <w:rPr>
          <w:rFonts w:hint="eastAsia" w:ascii="Times New Roman" w:hAnsi="Times New Roman" w:eastAsia="仿宋_GB2312" w:cs="仿宋_GB2312"/>
          <w:bCs/>
          <w:kern w:val="0"/>
          <w:sz w:val="32"/>
          <w:szCs w:val="32"/>
          <w:lang w:val="en-US" w:eastAsia="zh-CN"/>
        </w:rPr>
        <w:t>水利局系统、共华镇水利管理站、茶盘洲镇水利管理站、黄茅洲镇水利管理站、漉湖水利管理站、南大膳镇水利管理站、南洞庭水利管理站、四季红水利管理站、草尾镇水利管理站、南嘴镇水利管理站、阳罗洲镇水利管理站、新湾镇水利管理站、胭脂湖镇水利管理站、城区水利管理站、泗湖山镇水利管理站、排灌建设服务站、挖泥船队、紫红洲电力排灌站、河道湖泊管理站。</w:t>
      </w: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both"/>
        <w:rPr>
          <w:sz w:val="72"/>
          <w:szCs w:val="72"/>
        </w:rPr>
      </w:pPr>
    </w:p>
    <w:p>
      <w:pPr>
        <w:jc w:val="center"/>
        <w:rPr>
          <w:sz w:val="72"/>
          <w:szCs w:val="72"/>
        </w:rPr>
      </w:pPr>
    </w:p>
    <w:p>
      <w:pPr>
        <w:jc w:val="center"/>
        <w:rPr>
          <w:sz w:val="72"/>
          <w:szCs w:val="72"/>
        </w:rPr>
      </w:pPr>
    </w:p>
    <w:p>
      <w:pPr>
        <w:pStyle w:val="13"/>
        <w:jc w:val="center"/>
        <w:rPr>
          <w:rFonts w:hint="eastAsia" w:ascii="方正小标宋_GBK" w:hAnsi="方正小标宋_GBK" w:eastAsia="方正小标宋_GBK" w:cs="方正小标宋_GBK"/>
          <w:sz w:val="84"/>
          <w:szCs w:val="84"/>
        </w:rPr>
      </w:pP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pPr>
        <w:pStyle w:val="13"/>
        <w:jc w:val="center"/>
        <w:rPr>
          <w:rFonts w:hint="eastAsia" w:ascii="方正小标宋_GBK" w:hAnsi="方正小标宋_GBK" w:eastAsia="方正小标宋_GBK" w:cs="方正小标宋_GBK"/>
          <w:sz w:val="84"/>
          <w:szCs w:val="84"/>
        </w:rPr>
      </w:pPr>
    </w:p>
    <w:p>
      <w:pPr>
        <w:pStyle w:val="13"/>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p>
    <w:tbl>
      <w:tblPr>
        <w:tblStyle w:val="8"/>
        <w:tblW w:w="15428" w:type="dxa"/>
        <w:tblInd w:w="0" w:type="dxa"/>
        <w:tblLayout w:type="fixed"/>
        <w:tblCellMar>
          <w:top w:w="0" w:type="dxa"/>
          <w:left w:w="0" w:type="dxa"/>
          <w:bottom w:w="0" w:type="dxa"/>
          <w:right w:w="0" w:type="dxa"/>
        </w:tblCellMar>
      </w:tblPr>
      <w:tblGrid>
        <w:gridCol w:w="270"/>
        <w:gridCol w:w="270"/>
        <w:gridCol w:w="1481"/>
        <w:gridCol w:w="1807"/>
        <w:gridCol w:w="1807"/>
        <w:gridCol w:w="1807"/>
        <w:gridCol w:w="1807"/>
        <w:gridCol w:w="1807"/>
        <w:gridCol w:w="1807"/>
        <w:gridCol w:w="2565"/>
      </w:tblGrid>
      <w:tr>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8"/>
              <w:tblW w:w="15398"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34"/>
              <w:gridCol w:w="575"/>
              <w:gridCol w:w="1313"/>
              <w:gridCol w:w="4682"/>
              <w:gridCol w:w="1574"/>
              <w:gridCol w:w="594"/>
              <w:gridCol w:w="763"/>
              <w:gridCol w:w="17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395" w:type="dxa"/>
                  <w:tcBorders>
                    <w:top w:val="nil"/>
                    <w:left w:val="nil"/>
                    <w:bottom w:val="nil"/>
                    <w:right w:val="nil"/>
                  </w:tcBorders>
                  <w:shd w:val="clear" w:color="auto" w:fill="auto"/>
                  <w:noWrap/>
                  <w:vAlign w:val="center"/>
                </w:tcPr>
                <w:p>
                  <w:pPr>
                    <w:jc w:val="left"/>
                    <w:rPr>
                      <w:rFonts w:hint="eastAsia" w:ascii="黑体" w:hAnsi="宋体" w:eastAsia="黑体" w:cs="黑体"/>
                      <w:i w:val="0"/>
                      <w:color w:val="000000"/>
                      <w:sz w:val="24"/>
                      <w:szCs w:val="24"/>
                      <w:u w:val="none"/>
                    </w:rPr>
                  </w:pPr>
                </w:p>
              </w:tc>
              <w:tc>
                <w:tcPr>
                  <w:tcW w:w="599" w:type="dxa"/>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1386" w:type="dxa"/>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4980" w:type="dxa"/>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1683" w:type="dxa"/>
                  <w:gridSpan w:val="2"/>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2355" w:type="dxa"/>
                  <w:gridSpan w:val="2"/>
                  <w:tcBorders>
                    <w:top w:val="nil"/>
                    <w:left w:val="nil"/>
                    <w:bottom w:val="nil"/>
                    <w:right w:val="nil"/>
                  </w:tcBorders>
                  <w:shd w:val="clear" w:color="auto" w:fill="auto"/>
                  <w:noWrap/>
                  <w:vAlign w:val="center"/>
                </w:tcPr>
                <w:p>
                  <w:pPr>
                    <w:jc w:val="right"/>
                    <w:rPr>
                      <w:rFonts w:hint="eastAsia" w:ascii="黑体" w:hAnsi="宋体" w:eastAsia="黑体" w:cs="黑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15398"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3789"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558"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1216"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4867"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294" w:type="dxa"/>
                  <w:gridSpan w:val="2"/>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674"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3789" w:type="dxa"/>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558"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1216"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4867"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294" w:type="dxa"/>
                  <w:gridSpan w:val="2"/>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674"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5563"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7567"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62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2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48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12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8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21154.98</w:t>
                  </w:r>
                </w:p>
              </w:tc>
              <w:tc>
                <w:tcPr>
                  <w:tcW w:w="48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194.1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115.5</w:t>
                  </w:r>
                </w:p>
              </w:tc>
              <w:tc>
                <w:tcPr>
                  <w:tcW w:w="48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48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48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1727.36</w:t>
                  </w:r>
                </w:p>
              </w:tc>
              <w:tc>
                <w:tcPr>
                  <w:tcW w:w="48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48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4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26465.27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2882.25</w:t>
                  </w:r>
                </w:p>
              </w:tc>
              <w:tc>
                <w:tcPr>
                  <w:tcW w:w="4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2"/>
                      <w:szCs w:val="22"/>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2"/>
                      <w:szCs w:val="22"/>
                      <w:u w:val="none"/>
                    </w:rPr>
                  </w:pPr>
                </w:p>
              </w:tc>
              <w:tc>
                <w:tcPr>
                  <w:tcW w:w="4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25880.08</w:t>
                  </w:r>
                </w:p>
              </w:tc>
              <w:tc>
                <w:tcPr>
                  <w:tcW w:w="4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26659.37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使用非财政拨款结余</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246.04</w:t>
                  </w:r>
                </w:p>
              </w:tc>
              <w:tc>
                <w:tcPr>
                  <w:tcW w:w="4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433.34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51" w:type="dxa"/>
                <w:trHeight w:val="62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1844.62</w:t>
                  </w:r>
                </w:p>
              </w:tc>
              <w:tc>
                <w:tcPr>
                  <w:tcW w:w="48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878.04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51" w:type="dxa"/>
                <w:trHeight w:val="448" w:hRule="atLeast"/>
              </w:trPr>
              <w:tc>
                <w:tcPr>
                  <w:tcW w:w="378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5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b/>
                      <w:bCs/>
                      <w:i w:val="0"/>
                      <w:color w:val="000000"/>
                      <w:sz w:val="22"/>
                      <w:szCs w:val="22"/>
                      <w:u w:val="none"/>
                      <w:lang w:val="en-US" w:eastAsia="zh-CN"/>
                    </w:rPr>
                    <w:t>27970.75</w:t>
                  </w:r>
                </w:p>
              </w:tc>
              <w:tc>
                <w:tcPr>
                  <w:tcW w:w="486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6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43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b/>
                      <w:i w:val="0"/>
                      <w:color w:val="000000"/>
                      <w:sz w:val="22"/>
                      <w:szCs w:val="22"/>
                      <w:u w:val="none"/>
                      <w:lang w:val="en-US" w:eastAsia="zh-CN"/>
                    </w:rPr>
                  </w:pPr>
                  <w:r>
                    <w:rPr>
                      <w:rFonts w:hint="eastAsia" w:ascii="宋体" w:hAnsi="宋体" w:eastAsia="宋体" w:cs="宋体"/>
                      <w:b/>
                      <w:i w:val="0"/>
                      <w:color w:val="000000"/>
                      <w:sz w:val="22"/>
                      <w:szCs w:val="22"/>
                      <w:u w:val="none"/>
                      <w:lang w:val="en-US" w:eastAsia="zh-CN"/>
                    </w:rPr>
                    <w:t>27970.75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27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70"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8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56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54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1481"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56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2021"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807"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80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256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54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1481"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56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54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81"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56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2021"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25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2021"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b w:val="0"/>
                <w:bCs w:val="0"/>
                <w:sz w:val="24"/>
                <w:szCs w:val="24"/>
              </w:rPr>
            </w:pPr>
            <w:r>
              <w:rPr>
                <w:rFonts w:hint="eastAsia" w:ascii="宋体" w:hAnsi="宋体" w:eastAsia="宋体" w:cs="宋体"/>
                <w:b w:val="0"/>
                <w:bCs w:val="0"/>
                <w:i w:val="0"/>
                <w:iCs w:val="0"/>
                <w:color w:val="000000"/>
                <w:kern w:val="0"/>
                <w:sz w:val="24"/>
                <w:szCs w:val="24"/>
                <w:u w:val="none"/>
                <w:lang w:val="en-US" w:eastAsia="zh-CN" w:bidi="ar"/>
              </w:rPr>
              <w:t>25,880.08</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keepNext w:val="0"/>
              <w:keepLines w:val="0"/>
              <w:widowControl/>
              <w:suppressLineNumbers w:val="0"/>
              <w:jc w:val="right"/>
              <w:textAlignment w:val="center"/>
              <w:rPr>
                <w:rFonts w:hint="eastAsia" w:ascii="宋体" w:hAnsi="宋体" w:eastAsia="宋体" w:cs="宋体"/>
                <w:b w:val="0"/>
                <w:bCs w:val="0"/>
                <w:sz w:val="24"/>
                <w:szCs w:val="24"/>
              </w:rPr>
            </w:pPr>
            <w:r>
              <w:rPr>
                <w:rFonts w:hint="eastAsia" w:ascii="宋体" w:hAnsi="宋体" w:eastAsia="宋体" w:cs="宋体"/>
                <w:b w:val="0"/>
                <w:bCs w:val="0"/>
                <w:i w:val="0"/>
                <w:iCs w:val="0"/>
                <w:color w:val="000000"/>
                <w:kern w:val="0"/>
                <w:sz w:val="24"/>
                <w:szCs w:val="24"/>
                <w:u w:val="none"/>
                <w:lang w:val="en-US" w:eastAsia="zh-CN" w:bidi="ar"/>
              </w:rPr>
              <w:t>21,270.47</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r>
              <w:rPr>
                <w:rFonts w:hint="eastAsia" w:ascii="宋体" w:hAnsi="宋体" w:eastAsia="宋体" w:cs="宋体"/>
                <w:sz w:val="24"/>
                <w:szCs w:val="24"/>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1727.6</w:t>
            </w:r>
            <w:r>
              <w:rPr>
                <w:rFonts w:hint="eastAsia" w:ascii="宋体" w:hAnsi="宋体" w:eastAsia="宋体" w:cs="宋体"/>
                <w:sz w:val="24"/>
                <w:szCs w:val="24"/>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r>
              <w:rPr>
                <w:rFonts w:hint="eastAsia" w:ascii="宋体" w:hAnsi="宋体" w:eastAsia="宋体" w:cs="宋体"/>
                <w:sz w:val="24"/>
                <w:szCs w:val="24"/>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r>
              <w:rPr>
                <w:rFonts w:hint="eastAsia" w:ascii="宋体" w:hAnsi="宋体" w:eastAsia="宋体" w:cs="宋体"/>
                <w:sz w:val="24"/>
                <w:szCs w:val="24"/>
              </w:rPr>
              <w:t>　</w:t>
            </w: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2882.25</w:t>
            </w:r>
            <w:r>
              <w:rPr>
                <w:rFonts w:hint="eastAsia" w:ascii="宋体" w:hAnsi="宋体" w:eastAsia="宋体" w:cs="宋体"/>
                <w:sz w:val="24"/>
                <w:szCs w:val="24"/>
              </w:rPr>
              <w:t>　</w:t>
            </w:r>
          </w:p>
        </w:tc>
      </w:tr>
      <w:tr>
        <w:tblPrEx>
          <w:tblCellMar>
            <w:top w:w="0" w:type="dxa"/>
            <w:left w:w="0" w:type="dxa"/>
            <w:bottom w:w="0" w:type="dxa"/>
            <w:right w:w="0" w:type="dxa"/>
          </w:tblCellMar>
        </w:tblPrEx>
        <w:trPr>
          <w:trHeight w:val="450" w:hRule="atLeast"/>
        </w:trPr>
        <w:tc>
          <w:tcPr>
            <w:tcW w:w="5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194.1</w:t>
            </w:r>
            <w:r>
              <w:rPr>
                <w:rFonts w:hint="eastAsia" w:ascii="宋体" w:hAnsi="宋体" w:eastAsia="宋体" w:cs="宋体"/>
                <w:sz w:val="24"/>
                <w:szCs w:val="24"/>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194.1</w:t>
            </w:r>
            <w:r>
              <w:rPr>
                <w:rFonts w:hint="eastAsia" w:ascii="宋体" w:hAnsi="宋体" w:eastAsia="宋体" w:cs="宋体"/>
                <w:sz w:val="24"/>
                <w:szCs w:val="24"/>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r>
      <w:tr>
        <w:tblPrEx>
          <w:tblCellMar>
            <w:top w:w="0" w:type="dxa"/>
            <w:left w:w="0" w:type="dxa"/>
            <w:bottom w:w="0" w:type="dxa"/>
            <w:right w:w="0" w:type="dxa"/>
          </w:tblCellMar>
        </w:tblPrEx>
        <w:trPr>
          <w:trHeight w:val="450" w:hRule="atLeast"/>
        </w:trPr>
        <w:tc>
          <w:tcPr>
            <w:tcW w:w="5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139.31</w:t>
            </w:r>
            <w:r>
              <w:rPr>
                <w:rFonts w:hint="eastAsia" w:ascii="宋体" w:hAnsi="宋体" w:eastAsia="宋体" w:cs="宋体"/>
                <w:sz w:val="24"/>
                <w:szCs w:val="24"/>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139.31</w:t>
            </w:r>
            <w:r>
              <w:rPr>
                <w:rFonts w:hint="eastAsia" w:ascii="宋体" w:hAnsi="宋体" w:eastAsia="宋体" w:cs="宋体"/>
                <w:sz w:val="24"/>
                <w:szCs w:val="24"/>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r>
      <w:tr>
        <w:tblPrEx>
          <w:tblCellMar>
            <w:top w:w="0" w:type="dxa"/>
            <w:left w:w="0" w:type="dxa"/>
            <w:bottom w:w="0" w:type="dxa"/>
            <w:right w:w="0" w:type="dxa"/>
          </w:tblCellMar>
        </w:tblPrEx>
        <w:trPr>
          <w:trHeight w:val="450" w:hRule="atLeast"/>
        </w:trPr>
        <w:tc>
          <w:tcPr>
            <w:tcW w:w="5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211</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节能环保支出</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1350</w:t>
            </w:r>
            <w:r>
              <w:rPr>
                <w:rFonts w:hint="eastAsia" w:ascii="宋体" w:hAnsi="宋体" w:eastAsia="宋体" w:cs="宋体"/>
                <w:sz w:val="24"/>
                <w:szCs w:val="24"/>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1350</w:t>
            </w:r>
            <w:r>
              <w:rPr>
                <w:rFonts w:hint="eastAsia" w:ascii="宋体" w:hAnsi="宋体" w:eastAsia="宋体" w:cs="宋体"/>
                <w:sz w:val="24"/>
                <w:szCs w:val="24"/>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4"/>
                <w:szCs w:val="24"/>
              </w:rPr>
            </w:pPr>
            <w:r>
              <w:rPr>
                <w:rFonts w:hint="eastAsia" w:ascii="宋体" w:hAnsi="宋体" w:eastAsia="宋体" w:cs="宋体"/>
                <w:sz w:val="24"/>
                <w:szCs w:val="24"/>
                <w:lang w:val="en-US" w:eastAsia="zh-CN"/>
              </w:rPr>
              <w:t>0.00</w:t>
            </w:r>
          </w:p>
        </w:tc>
      </w:tr>
      <w:tr>
        <w:tblPrEx>
          <w:tblCellMar>
            <w:top w:w="0" w:type="dxa"/>
            <w:left w:w="0" w:type="dxa"/>
            <w:bottom w:w="0" w:type="dxa"/>
            <w:right w:w="0" w:type="dxa"/>
          </w:tblCellMar>
        </w:tblPrEx>
        <w:trPr>
          <w:trHeight w:val="450" w:hRule="atLeast"/>
        </w:trPr>
        <w:tc>
          <w:tcPr>
            <w:tcW w:w="5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213</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农林水支出</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1"/>
                <w:szCs w:val="21"/>
                <w:lang w:val="en-US" w:eastAsia="zh-CN"/>
              </w:rPr>
              <w:t>20855.69</w:t>
            </w:r>
            <w:r>
              <w:rPr>
                <w:rFonts w:hint="eastAsia" w:ascii="宋体" w:hAnsi="宋体" w:eastAsia="宋体" w:cs="宋体"/>
                <w:sz w:val="21"/>
                <w:szCs w:val="21"/>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1"/>
                <w:szCs w:val="21"/>
                <w:lang w:val="en-US" w:eastAsia="zh-CN"/>
              </w:rPr>
              <w:t>18960.8</w:t>
            </w:r>
            <w:r>
              <w:rPr>
                <w:rFonts w:hint="eastAsia" w:ascii="宋体" w:hAnsi="宋体" w:eastAsia="宋体" w:cs="宋体"/>
                <w:sz w:val="21"/>
                <w:szCs w:val="21"/>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1"/>
                <w:szCs w:val="21"/>
                <w:lang w:val="en-US" w:eastAsia="zh-CN"/>
              </w:rPr>
              <w:t>1727.36</w:t>
            </w:r>
            <w:r>
              <w:rPr>
                <w:rFonts w:hint="eastAsia" w:ascii="宋体" w:hAnsi="宋体" w:eastAsia="宋体" w:cs="宋体"/>
                <w:sz w:val="21"/>
                <w:szCs w:val="21"/>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1"/>
                <w:szCs w:val="21"/>
                <w:lang w:val="en-US" w:eastAsia="zh-CN"/>
              </w:rPr>
              <w:t>167.54</w:t>
            </w:r>
            <w:r>
              <w:rPr>
                <w:rFonts w:hint="eastAsia" w:ascii="宋体" w:hAnsi="宋体" w:eastAsia="宋体" w:cs="宋体"/>
                <w:sz w:val="21"/>
                <w:szCs w:val="21"/>
              </w:rPr>
              <w:t>　</w:t>
            </w:r>
          </w:p>
        </w:tc>
      </w:tr>
      <w:tr>
        <w:tblPrEx>
          <w:tblCellMar>
            <w:top w:w="0" w:type="dxa"/>
            <w:left w:w="0" w:type="dxa"/>
            <w:bottom w:w="0" w:type="dxa"/>
            <w:right w:w="0" w:type="dxa"/>
          </w:tblCellMar>
        </w:tblPrEx>
        <w:trPr>
          <w:trHeight w:val="450" w:hRule="atLeast"/>
        </w:trPr>
        <w:tc>
          <w:tcPr>
            <w:tcW w:w="5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221</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住房保障支出</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1"/>
                <w:szCs w:val="21"/>
                <w:lang w:val="en-US" w:eastAsia="zh-CN"/>
              </w:rPr>
              <w:t>366.19</w:t>
            </w:r>
            <w:r>
              <w:rPr>
                <w:rFonts w:hint="eastAsia" w:ascii="宋体" w:hAnsi="宋体" w:eastAsia="宋体" w:cs="宋体"/>
                <w:sz w:val="21"/>
                <w:szCs w:val="21"/>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1"/>
                <w:szCs w:val="21"/>
                <w:lang w:val="en-US" w:eastAsia="zh-CN"/>
              </w:rPr>
              <w:t>366.19</w:t>
            </w:r>
            <w:r>
              <w:rPr>
                <w:rFonts w:hint="eastAsia" w:ascii="宋体" w:hAnsi="宋体" w:eastAsia="宋体" w:cs="宋体"/>
                <w:sz w:val="21"/>
                <w:szCs w:val="21"/>
              </w:rPr>
              <w:t>　</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180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25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r>
      <w:tr>
        <w:tblPrEx>
          <w:tblCellMar>
            <w:top w:w="0" w:type="dxa"/>
            <w:left w:w="0" w:type="dxa"/>
            <w:bottom w:w="0" w:type="dxa"/>
            <w:right w:w="0" w:type="dxa"/>
          </w:tblCellMar>
        </w:tblPrEx>
        <w:trPr>
          <w:trHeight w:val="450" w:hRule="atLeast"/>
        </w:trPr>
        <w:tc>
          <w:tcPr>
            <w:tcW w:w="5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224</w:t>
            </w:r>
          </w:p>
        </w:tc>
        <w:tc>
          <w:tcPr>
            <w:tcW w:w="1481"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8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1"/>
                <w:szCs w:val="21"/>
                <w:lang w:val="en-US" w:eastAsia="zh-CN"/>
              </w:rPr>
              <w:t>24.75</w:t>
            </w:r>
            <w:r>
              <w:rPr>
                <w:rFonts w:hint="eastAsia" w:ascii="宋体" w:hAnsi="宋体" w:eastAsia="宋体" w:cs="宋体"/>
                <w:sz w:val="21"/>
                <w:szCs w:val="21"/>
              </w:rPr>
              <w:t>　</w:t>
            </w:r>
          </w:p>
        </w:tc>
        <w:tc>
          <w:tcPr>
            <w:tcW w:w="18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1"/>
                <w:szCs w:val="21"/>
                <w:lang w:val="en-US" w:eastAsia="zh-CN"/>
              </w:rPr>
              <w:t>24.75</w:t>
            </w:r>
            <w:r>
              <w:rPr>
                <w:rFonts w:hint="eastAsia" w:ascii="宋体" w:hAnsi="宋体" w:eastAsia="宋体" w:cs="宋体"/>
                <w:sz w:val="21"/>
                <w:szCs w:val="21"/>
              </w:rPr>
              <w:t>　</w:t>
            </w:r>
          </w:p>
        </w:tc>
        <w:tc>
          <w:tcPr>
            <w:tcW w:w="18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18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18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18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256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r>
      <w:tr>
        <w:tblPrEx>
          <w:tblCellMar>
            <w:top w:w="0" w:type="dxa"/>
            <w:left w:w="0" w:type="dxa"/>
            <w:bottom w:w="0" w:type="dxa"/>
            <w:right w:w="0" w:type="dxa"/>
          </w:tblCellMar>
        </w:tblPrEx>
        <w:trPr>
          <w:trHeight w:val="450" w:hRule="atLeast"/>
        </w:trPr>
        <w:tc>
          <w:tcPr>
            <w:tcW w:w="54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w:t>
            </w:r>
          </w:p>
        </w:tc>
        <w:tc>
          <w:tcPr>
            <w:tcW w:w="1481" w:type="dxa"/>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其他支出</w:t>
            </w:r>
          </w:p>
        </w:tc>
        <w:tc>
          <w:tcPr>
            <w:tcW w:w="18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2924.6</w:t>
            </w:r>
          </w:p>
        </w:tc>
        <w:tc>
          <w:tcPr>
            <w:tcW w:w="18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235.32</w:t>
            </w:r>
          </w:p>
        </w:tc>
        <w:tc>
          <w:tcPr>
            <w:tcW w:w="18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18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18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180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ascii="宋体" w:hAnsi="宋体" w:eastAsia="宋体" w:cs="宋体"/>
                <w:sz w:val="21"/>
                <w:szCs w:val="21"/>
              </w:rPr>
            </w:pPr>
            <w:r>
              <w:rPr>
                <w:rFonts w:hint="eastAsia" w:ascii="宋体" w:hAnsi="宋体" w:eastAsia="宋体" w:cs="宋体"/>
                <w:sz w:val="24"/>
                <w:szCs w:val="24"/>
                <w:lang w:val="en-US" w:eastAsia="zh-CN"/>
              </w:rPr>
              <w:t>0.00</w:t>
            </w:r>
          </w:p>
        </w:tc>
        <w:tc>
          <w:tcPr>
            <w:tcW w:w="2565"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2714.72</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hint="eastAsia" w:ascii="宋体" w:hAnsi="宋体" w:eastAsia="宋体" w:cs="宋体"/>
          <w:kern w:val="0"/>
          <w:sz w:val="24"/>
          <w:szCs w:val="24"/>
        </w:rPr>
        <w:t>注：本表反映部门本年度取得的各项收入情况。</w:t>
      </w:r>
      <w:r>
        <w:rPr>
          <w:rFonts w:ascii="Times New Roman" w:hAnsi="Times New Roman" w:eastAsia="黑体" w:cs="Times New Roman"/>
          <w:bCs/>
          <w:kern w:val="0"/>
          <w:sz w:val="32"/>
          <w:szCs w:val="32"/>
        </w:rPr>
        <w:br w:type="page"/>
      </w:r>
    </w:p>
    <w:tbl>
      <w:tblPr>
        <w:tblStyle w:val="8"/>
        <w:tblpPr w:leftFromText="180" w:rightFromText="180" w:vertAnchor="text" w:horzAnchor="page" w:tblpX="776" w:tblpY="326"/>
        <w:tblOverlap w:val="never"/>
        <w:tblW w:w="15640" w:type="dxa"/>
        <w:tblInd w:w="0" w:type="dxa"/>
        <w:tblLayout w:type="fixed"/>
        <w:tblCellMar>
          <w:top w:w="0" w:type="dxa"/>
          <w:left w:w="108" w:type="dxa"/>
          <w:bottom w:w="0" w:type="dxa"/>
          <w:right w:w="108" w:type="dxa"/>
        </w:tblCellMar>
      </w:tblPr>
      <w:tblGrid>
        <w:gridCol w:w="1236"/>
        <w:gridCol w:w="240"/>
        <w:gridCol w:w="2235"/>
        <w:gridCol w:w="1810"/>
        <w:gridCol w:w="1833"/>
        <w:gridCol w:w="1867"/>
        <w:gridCol w:w="2083"/>
        <w:gridCol w:w="1883"/>
        <w:gridCol w:w="2453"/>
      </w:tblGrid>
      <w:tr>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1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3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6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08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8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5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4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1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3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67"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208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8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45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595" w:hRule="atLeast"/>
        </w:trPr>
        <w:tc>
          <w:tcPr>
            <w:tcW w:w="3711"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81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83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86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208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88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45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595" w:hRule="atLeast"/>
        </w:trPr>
        <w:tc>
          <w:tcPr>
            <w:tcW w:w="1476"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235"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8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3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6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45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312" w:hRule="atLeast"/>
        </w:trPr>
        <w:tc>
          <w:tcPr>
            <w:tcW w:w="1476"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235"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1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3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6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45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595" w:hRule="atLeast"/>
        </w:trPr>
        <w:tc>
          <w:tcPr>
            <w:tcW w:w="3711"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81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83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867"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208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88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45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595" w:hRule="atLeast"/>
        </w:trPr>
        <w:tc>
          <w:tcPr>
            <w:tcW w:w="3711"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8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26659.37</w:t>
            </w:r>
            <w:r>
              <w:rPr>
                <w:rFonts w:hint="eastAsia" w:ascii="宋体" w:hAnsi="宋体" w:eastAsia="宋体" w:cs="宋体"/>
                <w:kern w:val="0"/>
                <w:sz w:val="24"/>
                <w:szCs w:val="24"/>
              </w:rPr>
              <w:t>　</w:t>
            </w:r>
          </w:p>
        </w:tc>
        <w:tc>
          <w:tcPr>
            <w:tcW w:w="183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9511.24</w:t>
            </w:r>
            <w:r>
              <w:rPr>
                <w:rFonts w:hint="eastAsia" w:ascii="宋体" w:hAnsi="宋体" w:eastAsia="宋体" w:cs="宋体"/>
                <w:kern w:val="0"/>
                <w:sz w:val="24"/>
                <w:szCs w:val="24"/>
              </w:rPr>
              <w:t>　</w:t>
            </w:r>
          </w:p>
        </w:tc>
        <w:tc>
          <w:tcPr>
            <w:tcW w:w="186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17148.13</w:t>
            </w:r>
            <w:r>
              <w:rPr>
                <w:rFonts w:hint="eastAsia" w:ascii="宋体" w:hAnsi="宋体" w:eastAsia="宋体" w:cs="宋体"/>
                <w:kern w:val="0"/>
                <w:sz w:val="24"/>
                <w:szCs w:val="24"/>
              </w:rPr>
              <w:t>　</w:t>
            </w:r>
          </w:p>
        </w:tc>
        <w:tc>
          <w:tcPr>
            <w:tcW w:w="20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18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245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223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8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194.1</w:t>
            </w:r>
            <w:r>
              <w:rPr>
                <w:rFonts w:hint="eastAsia" w:ascii="宋体" w:hAnsi="宋体" w:eastAsia="宋体" w:cs="宋体"/>
                <w:kern w:val="0"/>
                <w:sz w:val="24"/>
                <w:szCs w:val="24"/>
              </w:rPr>
              <w:t>　</w:t>
            </w:r>
          </w:p>
        </w:tc>
        <w:tc>
          <w:tcPr>
            <w:tcW w:w="183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0.1</w:t>
            </w:r>
            <w:r>
              <w:rPr>
                <w:rFonts w:hint="eastAsia" w:ascii="宋体" w:hAnsi="宋体" w:eastAsia="宋体" w:cs="宋体"/>
                <w:kern w:val="0"/>
                <w:sz w:val="24"/>
                <w:szCs w:val="24"/>
              </w:rPr>
              <w:t>　</w:t>
            </w:r>
          </w:p>
        </w:tc>
        <w:tc>
          <w:tcPr>
            <w:tcW w:w="186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194</w:t>
            </w:r>
            <w:r>
              <w:rPr>
                <w:rFonts w:hint="eastAsia" w:ascii="宋体" w:hAnsi="宋体" w:eastAsia="宋体" w:cs="宋体"/>
                <w:kern w:val="0"/>
                <w:sz w:val="24"/>
                <w:szCs w:val="24"/>
              </w:rPr>
              <w:t>　</w:t>
            </w:r>
          </w:p>
        </w:tc>
        <w:tc>
          <w:tcPr>
            <w:tcW w:w="20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8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5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223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8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139.31</w:t>
            </w:r>
            <w:r>
              <w:rPr>
                <w:rFonts w:hint="eastAsia" w:ascii="宋体" w:hAnsi="宋体" w:eastAsia="宋体" w:cs="宋体"/>
                <w:kern w:val="0"/>
                <w:sz w:val="24"/>
                <w:szCs w:val="24"/>
              </w:rPr>
              <w:t>　</w:t>
            </w:r>
          </w:p>
        </w:tc>
        <w:tc>
          <w:tcPr>
            <w:tcW w:w="183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139.31</w:t>
            </w:r>
            <w:r>
              <w:rPr>
                <w:rFonts w:hint="eastAsia" w:ascii="宋体" w:hAnsi="宋体" w:eastAsia="宋体" w:cs="宋体"/>
                <w:kern w:val="0"/>
                <w:sz w:val="24"/>
                <w:szCs w:val="24"/>
              </w:rPr>
              <w:t>　</w:t>
            </w:r>
          </w:p>
        </w:tc>
        <w:tc>
          <w:tcPr>
            <w:tcW w:w="186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20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8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5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211</w:t>
            </w:r>
          </w:p>
        </w:tc>
        <w:tc>
          <w:tcPr>
            <w:tcW w:w="223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节能环保支出</w:t>
            </w:r>
          </w:p>
        </w:tc>
        <w:tc>
          <w:tcPr>
            <w:tcW w:w="18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1350</w:t>
            </w:r>
            <w:r>
              <w:rPr>
                <w:rFonts w:hint="eastAsia" w:ascii="宋体" w:hAnsi="宋体" w:eastAsia="宋体" w:cs="宋体"/>
                <w:kern w:val="0"/>
                <w:sz w:val="24"/>
                <w:szCs w:val="24"/>
              </w:rPr>
              <w:t>　</w:t>
            </w:r>
          </w:p>
        </w:tc>
        <w:tc>
          <w:tcPr>
            <w:tcW w:w="183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186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1350</w:t>
            </w:r>
            <w:r>
              <w:rPr>
                <w:rFonts w:hint="eastAsia" w:ascii="宋体" w:hAnsi="宋体" w:eastAsia="宋体" w:cs="宋体"/>
                <w:kern w:val="0"/>
                <w:sz w:val="24"/>
                <w:szCs w:val="24"/>
              </w:rPr>
              <w:t>　</w:t>
            </w:r>
          </w:p>
        </w:tc>
        <w:tc>
          <w:tcPr>
            <w:tcW w:w="20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8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5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213</w:t>
            </w:r>
          </w:p>
        </w:tc>
        <w:tc>
          <w:tcPr>
            <w:tcW w:w="223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农林水支出</w:t>
            </w:r>
          </w:p>
        </w:tc>
        <w:tc>
          <w:tcPr>
            <w:tcW w:w="18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22024.61</w:t>
            </w:r>
            <w:r>
              <w:rPr>
                <w:rFonts w:hint="eastAsia" w:ascii="宋体" w:hAnsi="宋体" w:eastAsia="宋体" w:cs="宋体"/>
                <w:kern w:val="0"/>
                <w:sz w:val="24"/>
                <w:szCs w:val="24"/>
              </w:rPr>
              <w:t>　</w:t>
            </w:r>
          </w:p>
        </w:tc>
        <w:tc>
          <w:tcPr>
            <w:tcW w:w="183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8988.01</w:t>
            </w:r>
            <w:r>
              <w:rPr>
                <w:rFonts w:hint="eastAsia" w:ascii="宋体" w:hAnsi="宋体" w:eastAsia="宋体" w:cs="宋体"/>
                <w:kern w:val="0"/>
                <w:sz w:val="24"/>
                <w:szCs w:val="24"/>
              </w:rPr>
              <w:t>　</w:t>
            </w:r>
          </w:p>
        </w:tc>
        <w:tc>
          <w:tcPr>
            <w:tcW w:w="186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13036.6</w:t>
            </w:r>
            <w:r>
              <w:rPr>
                <w:rFonts w:hint="eastAsia" w:ascii="宋体" w:hAnsi="宋体" w:eastAsia="宋体" w:cs="宋体"/>
                <w:kern w:val="0"/>
                <w:sz w:val="24"/>
                <w:szCs w:val="24"/>
              </w:rPr>
              <w:t>　</w:t>
            </w:r>
          </w:p>
        </w:tc>
        <w:tc>
          <w:tcPr>
            <w:tcW w:w="20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8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5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w:t>
            </w:r>
          </w:p>
        </w:tc>
        <w:tc>
          <w:tcPr>
            <w:tcW w:w="2235"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住房保障支出</w:t>
            </w:r>
          </w:p>
        </w:tc>
        <w:tc>
          <w:tcPr>
            <w:tcW w:w="1810"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366.19</w:t>
            </w:r>
            <w:r>
              <w:rPr>
                <w:rFonts w:hint="eastAsia" w:ascii="宋体" w:hAnsi="宋体" w:eastAsia="宋体" w:cs="宋体"/>
                <w:kern w:val="0"/>
                <w:sz w:val="24"/>
                <w:szCs w:val="24"/>
              </w:rPr>
              <w:t>　</w:t>
            </w:r>
          </w:p>
        </w:tc>
        <w:tc>
          <w:tcPr>
            <w:tcW w:w="183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366.19</w:t>
            </w:r>
            <w:r>
              <w:rPr>
                <w:rFonts w:hint="eastAsia" w:ascii="宋体" w:hAnsi="宋体" w:eastAsia="宋体" w:cs="宋体"/>
                <w:kern w:val="0"/>
                <w:sz w:val="24"/>
                <w:szCs w:val="24"/>
              </w:rPr>
              <w:t>　</w:t>
            </w:r>
          </w:p>
        </w:tc>
        <w:tc>
          <w:tcPr>
            <w:tcW w:w="1867"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20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88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5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224</w:t>
            </w:r>
          </w:p>
        </w:tc>
        <w:tc>
          <w:tcPr>
            <w:tcW w:w="2235"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8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24.75</w:t>
            </w:r>
            <w:r>
              <w:rPr>
                <w:rFonts w:hint="eastAsia" w:ascii="宋体" w:hAnsi="宋体" w:eastAsia="宋体" w:cs="宋体"/>
                <w:kern w:val="0"/>
                <w:sz w:val="24"/>
                <w:szCs w:val="24"/>
              </w:rPr>
              <w:t>　</w:t>
            </w:r>
          </w:p>
        </w:tc>
        <w:tc>
          <w:tcPr>
            <w:tcW w:w="183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18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24.75</w:t>
            </w:r>
            <w:r>
              <w:rPr>
                <w:rFonts w:hint="eastAsia" w:ascii="宋体" w:hAnsi="宋体" w:eastAsia="宋体" w:cs="宋体"/>
                <w:kern w:val="0"/>
                <w:sz w:val="24"/>
                <w:szCs w:val="24"/>
              </w:rPr>
              <w:t>　</w:t>
            </w:r>
          </w:p>
        </w:tc>
        <w:tc>
          <w:tcPr>
            <w:tcW w:w="20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8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595" w:hRule="atLeast"/>
        </w:trPr>
        <w:tc>
          <w:tcPr>
            <w:tcW w:w="1476"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w:t>
            </w:r>
          </w:p>
        </w:tc>
        <w:tc>
          <w:tcPr>
            <w:tcW w:w="2235"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其他支出</w:t>
            </w:r>
          </w:p>
        </w:tc>
        <w:tc>
          <w:tcPr>
            <w:tcW w:w="18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2560.41</w:t>
            </w:r>
          </w:p>
        </w:tc>
        <w:tc>
          <w:tcPr>
            <w:tcW w:w="183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17.64</w:t>
            </w:r>
          </w:p>
        </w:tc>
        <w:tc>
          <w:tcPr>
            <w:tcW w:w="18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2542.77</w:t>
            </w:r>
          </w:p>
        </w:tc>
        <w:tc>
          <w:tcPr>
            <w:tcW w:w="20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88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453"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r>
    </w:tbl>
    <w:p>
      <w:pPr>
        <w:widowControl/>
        <w:jc w:val="left"/>
        <w:rPr>
          <w:rFonts w:ascii="Times New Roman" w:hAnsi="Times New Roman" w:eastAsia="黑体" w:cs="Times New Roman"/>
          <w:bCs/>
          <w:kern w:val="0"/>
          <w:sz w:val="32"/>
          <w:szCs w:val="32"/>
        </w:rPr>
      </w:pPr>
      <w:r>
        <w:rPr>
          <w:rFonts w:hint="eastAsia" w:ascii="Times New Roman" w:hAnsi="Times New Roman" w:eastAsia="黑体" w:cs="Times New Roman"/>
          <w:bCs/>
          <w:kern w:val="0"/>
          <w:sz w:val="32"/>
          <w:szCs w:val="32"/>
        </w:rPr>
        <w:t>注：本表反映部门本年度各项支出情况。</w:t>
      </w:r>
    </w:p>
    <w:p>
      <w:pPr>
        <w:widowControl/>
        <w:rPr>
          <w:rFonts w:ascii="Times New Roman" w:hAnsi="Times New Roman" w:eastAsia="方正小标宋_GBK" w:cs="Times New Roman"/>
          <w:color w:val="000000"/>
          <w:kern w:val="0"/>
          <w:sz w:val="36"/>
          <w:szCs w:val="36"/>
        </w:rPr>
      </w:pPr>
    </w:p>
    <w:p>
      <w:pPr>
        <w:widowControl/>
        <w:jc w:val="both"/>
        <w:rPr>
          <w:rFonts w:ascii="Times New Roman" w:hAnsi="Times New Roman" w:eastAsia="方正小标宋_GBK" w:cs="Times New Roman"/>
          <w:color w:val="000000"/>
          <w:kern w:val="0"/>
          <w:sz w:val="36"/>
          <w:szCs w:val="21"/>
        </w:rPr>
      </w:pPr>
    </w:p>
    <w:tbl>
      <w:tblPr>
        <w:tblStyle w:val="8"/>
        <w:tblW w:w="15521" w:type="dxa"/>
        <w:tblInd w:w="93" w:type="dxa"/>
        <w:tblLayout w:type="fixed"/>
        <w:tblCellMar>
          <w:top w:w="0" w:type="dxa"/>
          <w:left w:w="108" w:type="dxa"/>
          <w:bottom w:w="0" w:type="dxa"/>
          <w:right w:w="108" w:type="dxa"/>
        </w:tblCellMar>
      </w:tblPr>
      <w:tblGrid>
        <w:gridCol w:w="3546"/>
        <w:gridCol w:w="481"/>
        <w:gridCol w:w="1419"/>
        <w:gridCol w:w="171"/>
        <w:gridCol w:w="2911"/>
        <w:gridCol w:w="631"/>
        <w:gridCol w:w="435"/>
        <w:gridCol w:w="1571"/>
        <w:gridCol w:w="1392"/>
        <w:gridCol w:w="1392"/>
        <w:gridCol w:w="1572"/>
      </w:tblGrid>
      <w:tr>
        <w:tblPrEx>
          <w:tblCellMar>
            <w:top w:w="0" w:type="dxa"/>
            <w:left w:w="108" w:type="dxa"/>
            <w:bottom w:w="0" w:type="dxa"/>
            <w:right w:w="108" w:type="dxa"/>
          </w:tblCellMar>
        </w:tblPrEx>
        <w:trPr>
          <w:trHeight w:val="285" w:hRule="atLeast"/>
        </w:trPr>
        <w:tc>
          <w:tcPr>
            <w:tcW w:w="3546"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81"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90"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2"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1"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2"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2"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2"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4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8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71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2"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46"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48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19"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71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2"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446"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075"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41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2"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41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21154.98</w:t>
            </w: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194.1</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194.1</w:t>
            </w: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115.5</w:t>
            </w: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六、科学技术支出</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21166.42</w:t>
            </w: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21050.92</w:t>
            </w: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115.5</w:t>
            </w: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419"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21270.47</w:t>
            </w: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21360.52</w:t>
            </w: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21245.02</w:t>
            </w: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115.5</w:t>
            </w: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b/>
                <w:bCs/>
                <w:kern w:val="0"/>
                <w:sz w:val="22"/>
              </w:rPr>
            </w:pPr>
            <w:r>
              <w:rPr>
                <w:rFonts w:hint="eastAsia" w:ascii="宋体" w:hAnsi="宋体" w:eastAsia="宋体" w:cs="宋体"/>
                <w:kern w:val="0"/>
                <w:sz w:val="22"/>
                <w:lang w:val="en-US" w:eastAsia="zh-CN"/>
              </w:rPr>
              <w:t>0.00</w:t>
            </w: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90.04</w:t>
            </w: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90.04</w:t>
            </w: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8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4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8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419"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21360.52</w:t>
            </w:r>
            <w:r>
              <w:rPr>
                <w:rFonts w:hint="eastAsia" w:ascii="宋体" w:hAnsi="宋体" w:eastAsia="宋体" w:cs="宋体"/>
                <w:kern w:val="0"/>
                <w:sz w:val="22"/>
              </w:rPr>
              <w:t>　</w:t>
            </w:r>
          </w:p>
        </w:tc>
        <w:tc>
          <w:tcPr>
            <w:tcW w:w="3082"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6"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1" w:type="dxa"/>
            <w:tcBorders>
              <w:top w:val="nil"/>
              <w:left w:val="nil"/>
              <w:bottom w:val="single" w:color="auto" w:sz="4" w:space="0"/>
              <w:right w:val="single" w:color="auto" w:sz="4" w:space="0"/>
            </w:tcBorders>
            <w:shd w:val="clear" w:color="000000" w:fill="FFFFFF"/>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21360.52</w:t>
            </w:r>
            <w:r>
              <w:rPr>
                <w:rFonts w:hint="eastAsia" w:ascii="宋体" w:hAnsi="宋体" w:eastAsia="宋体" w:cs="宋体"/>
                <w:kern w:val="0"/>
                <w:sz w:val="22"/>
              </w:rPr>
              <w:t>　</w:t>
            </w:r>
          </w:p>
        </w:tc>
        <w:tc>
          <w:tcPr>
            <w:tcW w:w="1392" w:type="dxa"/>
            <w:tcBorders>
              <w:top w:val="nil"/>
              <w:left w:val="nil"/>
              <w:bottom w:val="single" w:color="auto" w:sz="4" w:space="0"/>
              <w:right w:val="single" w:color="auto" w:sz="4" w:space="0"/>
            </w:tcBorders>
            <w:shd w:val="clear" w:color="000000" w:fill="FFFFFF"/>
            <w:noWrap/>
            <w:vAlign w:val="center"/>
          </w:tcPr>
          <w:p>
            <w:pPr>
              <w:widowControl/>
              <w:jc w:val="right"/>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21245.02</w:t>
            </w:r>
          </w:p>
        </w:tc>
        <w:tc>
          <w:tcPr>
            <w:tcW w:w="1392"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115.5</w:t>
            </w:r>
          </w:p>
        </w:tc>
        <w:tc>
          <w:tcPr>
            <w:tcW w:w="1572"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0.00</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8"/>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21245.02</w:t>
            </w: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7954.59</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13290.43</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一般公共服务支出</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194.1</w:t>
            </w: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0.1</w:t>
            </w: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194</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139.31</w:t>
            </w: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139.31</w:t>
            </w: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节能环保支出</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1350</w:t>
            </w: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1350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213</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农林水支出</w:t>
            </w:r>
          </w:p>
        </w:tc>
        <w:tc>
          <w:tcPr>
            <w:tcW w:w="3000"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18960.71</w:t>
            </w: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7447.94</w:t>
            </w: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11512.77</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w:t>
            </w:r>
          </w:p>
        </w:tc>
        <w:tc>
          <w:tcPr>
            <w:tcW w:w="3527"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住房保障支出</w:t>
            </w:r>
          </w:p>
        </w:tc>
        <w:tc>
          <w:tcPr>
            <w:tcW w:w="3000"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366.19</w:t>
            </w:r>
            <w:r>
              <w:rPr>
                <w:rFonts w:ascii="Times New Roman" w:hAnsi="Times New Roman" w:eastAsia="仿宋_GB2312" w:cs="Times New Roman"/>
                <w:kern w:val="0"/>
                <w:szCs w:val="21"/>
              </w:rPr>
              <w:t>　</w:t>
            </w:r>
          </w:p>
        </w:tc>
        <w:tc>
          <w:tcPr>
            <w:tcW w:w="3492" w:type="dxa"/>
            <w:tcBorders>
              <w:top w:val="nil"/>
              <w:left w:val="nil"/>
              <w:bottom w:val="single" w:color="auto" w:sz="8" w:space="0"/>
              <w:right w:val="single" w:color="auto" w:sz="4"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366.19</w:t>
            </w:r>
            <w:r>
              <w:rPr>
                <w:rFonts w:ascii="Times New Roman" w:hAnsi="Times New Roman" w:eastAsia="仿宋_GB2312" w:cs="Times New Roman"/>
                <w:kern w:val="0"/>
                <w:szCs w:val="21"/>
              </w:rPr>
              <w:t>　</w:t>
            </w:r>
          </w:p>
        </w:tc>
        <w:tc>
          <w:tcPr>
            <w:tcW w:w="3000" w:type="dxa"/>
            <w:tcBorders>
              <w:top w:val="nil"/>
              <w:left w:val="nil"/>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224</w:t>
            </w:r>
          </w:p>
        </w:tc>
        <w:tc>
          <w:tcPr>
            <w:tcW w:w="3527"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24.75</w:t>
            </w:r>
            <w:r>
              <w:rPr>
                <w:rFonts w:ascii="Times New Roman" w:hAnsi="Times New Roman" w:eastAsia="仿宋_GB2312" w:cs="Times New Roman"/>
                <w:kern w:val="0"/>
                <w:szCs w:val="21"/>
              </w:rPr>
              <w:t>　</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0.00</w:t>
            </w:r>
            <w:r>
              <w:rPr>
                <w:rFonts w:ascii="Times New Roman" w:hAnsi="Times New Roman" w:eastAsia="仿宋_GB2312" w:cs="Times New Roman"/>
                <w:kern w:val="0"/>
                <w:szCs w:val="21"/>
              </w:rPr>
              <w:t>　</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right"/>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24.75</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229</w:t>
            </w:r>
          </w:p>
        </w:tc>
        <w:tc>
          <w:tcPr>
            <w:tcW w:w="3527" w:type="dxa"/>
            <w:tcBorders>
              <w:top w:val="single" w:color="auto" w:sz="8" w:space="0"/>
              <w:left w:val="single" w:color="auto" w:sz="8" w:space="0"/>
              <w:bottom w:val="single" w:color="auto" w:sz="8" w:space="0"/>
              <w:right w:val="single" w:color="auto" w:sz="8"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其他支出</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209.96</w:t>
            </w:r>
          </w:p>
        </w:tc>
        <w:tc>
          <w:tcPr>
            <w:tcW w:w="3492"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1.04</w:t>
            </w:r>
          </w:p>
        </w:tc>
        <w:tc>
          <w:tcPr>
            <w:tcW w:w="3000"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righ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208.92</w:t>
            </w:r>
          </w:p>
        </w:tc>
      </w:tr>
    </w:tbl>
    <w:p>
      <w:pPr>
        <w:widowControl/>
        <w:jc w:val="left"/>
        <w:rPr>
          <w:rFonts w:hint="default" w:ascii="Times New Roman" w:hAnsi="Times New Roman" w:eastAsia="仿宋_GB2312" w:cs="Times New Roman"/>
          <w:bCs/>
          <w:kern w:val="0"/>
          <w:szCs w:val="21"/>
          <w:lang w:val="en-US" w:eastAsia="zh-CN"/>
        </w:rPr>
      </w:pPr>
      <w:r>
        <w:rPr>
          <w:rFonts w:hint="eastAsia" w:ascii="Times New Roman" w:hAnsi="Times New Roman" w:eastAsia="仿宋_GB2312" w:cs="Times New Roman"/>
          <w:bCs/>
          <w:kern w:val="0"/>
          <w:szCs w:val="21"/>
          <w:lang w:val="en-US" w:eastAsia="zh-CN"/>
        </w:rPr>
        <w:t xml:space="preserve">     </w:t>
      </w:r>
      <w:r>
        <w:rPr>
          <w:rFonts w:hint="eastAsia" w:ascii="Times New Roman" w:hAnsi="Times New Roman" w:eastAsia="仿宋_GB2312" w:cs="Times New Roman"/>
          <w:bCs/>
          <w:kern w:val="0"/>
          <w:szCs w:val="21"/>
        </w:rPr>
        <w:t>注：本表反映部门本年度一般公共预算财政拨款支出情况。</w:t>
      </w: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8"/>
        <w:tblW w:w="0" w:type="auto"/>
        <w:tblInd w:w="0" w:type="dxa"/>
        <w:tblLayout w:type="autofit"/>
        <w:tblCellMar>
          <w:top w:w="0" w:type="dxa"/>
          <w:left w:w="108" w:type="dxa"/>
          <w:bottom w:w="0" w:type="dxa"/>
          <w:right w:w="108" w:type="dxa"/>
        </w:tblCellMar>
      </w:tblPr>
      <w:tblGrid>
        <w:gridCol w:w="929"/>
        <w:gridCol w:w="238"/>
        <w:gridCol w:w="87"/>
        <w:gridCol w:w="1205"/>
        <w:gridCol w:w="1886"/>
        <w:gridCol w:w="95"/>
        <w:gridCol w:w="920"/>
        <w:gridCol w:w="1129"/>
        <w:gridCol w:w="284"/>
        <w:gridCol w:w="1837"/>
        <w:gridCol w:w="177"/>
        <w:gridCol w:w="838"/>
        <w:gridCol w:w="1130"/>
        <w:gridCol w:w="328"/>
        <w:gridCol w:w="1943"/>
        <w:gridCol w:w="1572"/>
        <w:gridCol w:w="619"/>
        <w:gridCol w:w="397"/>
      </w:tblGrid>
      <w:tr>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338"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36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64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22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31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648"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22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206"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648"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6,133.44</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1,507.97</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1,869.46</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73.54</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105.24</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45.56</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558.77</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34.24</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0.15</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675.46</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4.45</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995.63</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40.43</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227.98</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22.47</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459.76</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0.83</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13.78</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36.00</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109.59</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641.25</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70.12</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528.82</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313.18</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4.28</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22.42</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42.83</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15.43</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14.78</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117.61</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114.55</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11.65</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68.06</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418.81</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163.23</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1.19</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199.35</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9.52</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13.48</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27.48</w:t>
            </w: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0.00</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648"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338"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36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647"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c>
          <w:tcPr>
            <w:tcW w:w="1222"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31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196.39</w:t>
            </w:r>
          </w:p>
        </w:tc>
        <w:tc>
          <w:tcPr>
            <w:tcW w:w="122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206"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648" w:type="dxa"/>
            <w:gridSpan w:val="2"/>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470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647"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6,446.61</w:t>
            </w:r>
          </w:p>
        </w:tc>
        <w:tc>
          <w:tcPr>
            <w:tcW w:w="9615" w:type="dxa"/>
            <w:gridSpan w:val="9"/>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648"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18"/>
              </w:rPr>
            </w:pPr>
            <w:r>
              <w:rPr>
                <w:rFonts w:hint="eastAsia" w:ascii="宋体" w:hAnsi="宋体" w:eastAsia="宋体" w:cs="宋体"/>
                <w:i w:val="0"/>
                <w:iCs w:val="0"/>
                <w:color w:val="000000"/>
                <w:kern w:val="0"/>
                <w:sz w:val="22"/>
                <w:szCs w:val="22"/>
                <w:u w:val="none"/>
                <w:lang w:val="en-US" w:eastAsia="zh-CN" w:bidi="ar"/>
              </w:rPr>
              <w:t>1,507.97</w:t>
            </w:r>
          </w:p>
        </w:tc>
      </w:tr>
      <w:tr>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5360" w:type="dxa"/>
            <w:gridSpan w:val="17"/>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345" w:hRule="atLeast"/>
        </w:trPr>
        <w:tc>
          <w:tcPr>
            <w:tcW w:w="1003"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40"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1402" w:type="dxa"/>
            <w:gridSpan w:val="2"/>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90" w:hRule="atLeast"/>
        </w:trPr>
        <w:tc>
          <w:tcPr>
            <w:tcW w:w="1003" w:type="dxa"/>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240"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1402" w:type="dxa"/>
            <w:gridSpan w:val="2"/>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120"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5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6"/>
                <w:lang w:val="en-US" w:eastAsia="zh-CN" w:bidi="ar"/>
              </w:rPr>
              <w:t xml:space="preserve">   </w:t>
            </w:r>
            <w:r>
              <w:rPr>
                <w:rStyle w:val="17"/>
                <w:lang w:val="en-US" w:eastAsia="zh-CN" w:bidi="ar"/>
              </w:rPr>
              <w:t>目</w:t>
            </w: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3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1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609" w:hRule="atLeast"/>
        </w:trPr>
        <w:tc>
          <w:tcPr>
            <w:tcW w:w="124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40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409" w:hRule="atLeast"/>
        </w:trPr>
        <w:tc>
          <w:tcPr>
            <w:tcW w:w="12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40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40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0.00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115.50</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115.50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0.00</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115.50</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24"/>
                <w:szCs w:val="24"/>
                <w:u w:val="none"/>
              </w:rPr>
            </w:pPr>
            <w:r>
              <w:rPr>
                <w:rFonts w:hint="eastAsia" w:ascii="宋体" w:hAnsi="宋体" w:eastAsia="宋体" w:cs="宋体"/>
                <w:b/>
                <w:bCs/>
                <w:i w:val="0"/>
                <w:iCs w:val="0"/>
                <w:color w:val="000000"/>
                <w:kern w:val="0"/>
                <w:sz w:val="22"/>
                <w:szCs w:val="22"/>
                <w:u w:val="none"/>
                <w:lang w:val="en-US" w:eastAsia="zh-CN" w:bidi="ar"/>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213</w:t>
            </w: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0.00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90.13</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90.13</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lang w:val="en-US" w:eastAsia="zh-CN"/>
              </w:rPr>
              <w:t>0.00</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90.13</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229</w:t>
            </w: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其他支出</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lang w:val="en-US" w:eastAsia="zh-CN"/>
              </w:rPr>
              <w:t>0.00</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25.37</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25.37</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lang w:val="en-US" w:eastAsia="zh-CN"/>
              </w:rPr>
              <w:t>0.00</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25.37</w:t>
            </w: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509" w:hRule="atLeast"/>
        </w:trPr>
        <w:tc>
          <w:tcPr>
            <w:tcW w:w="1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4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4" w:type="dxa"/>
          <w:trHeight w:val="725" w:hRule="atLeast"/>
        </w:trPr>
        <w:tc>
          <w:tcPr>
            <w:tcW w:w="15360" w:type="dxa"/>
            <w:gridSpan w:val="17"/>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说明：我单位没有政府性基金收入，也没有使用政府性基金安排的支出，故本表无数据。（当表格数据为空时，应有此说明）</w:t>
            </w:r>
          </w:p>
        </w:tc>
      </w:tr>
    </w:tbl>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tbl>
      <w:tblPr>
        <w:tblStyle w:val="8"/>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701"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8"/>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说明：我单位没有使用国有资本经营预算安排的支出，故本表无数据。（当表格数据为空时，应有此说明）</w:t>
            </w:r>
          </w:p>
        </w:tc>
      </w:tr>
    </w:tbl>
    <w:p>
      <w:pPr>
        <w:widowControl/>
        <w:jc w:val="center"/>
        <w:rPr>
          <w:rFonts w:hint="eastAsia" w:ascii="Times New Roman" w:hAnsi="Times New Roman" w:eastAsia="方正小标宋_GBK" w:cs="Times New Roman"/>
          <w:color w:val="000000"/>
          <w:kern w:val="0"/>
          <w:sz w:val="36"/>
          <w:szCs w:val="36"/>
        </w:rPr>
      </w:pPr>
    </w:p>
    <w:tbl>
      <w:tblPr>
        <w:tblStyle w:val="8"/>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840" w:hRule="atLeast"/>
        </w:trPr>
        <w:tc>
          <w:tcPr>
            <w:tcW w:w="15140" w:type="dxa"/>
            <w:gridSpan w:val="12"/>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17.14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r>
              <w:rPr>
                <w:rFonts w:hint="eastAsia"/>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r>
              <w:rPr>
                <w:rFonts w:hint="eastAsia"/>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color w:val="000000"/>
                <w:sz w:val="22"/>
                <w:szCs w:val="22"/>
                <w:u w:val="none"/>
              </w:rPr>
            </w:pPr>
            <w:r>
              <w:rPr>
                <w:rFonts w:hint="eastAsia"/>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17.14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15.43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widowControl/>
        <w:jc w:val="both"/>
        <w:rPr>
          <w:sz w:val="72"/>
          <w:szCs w:val="72"/>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pPr>
      <w:r>
        <w:rPr>
          <w:rFonts w:ascii="黑体" w:hAnsi="黑体" w:eastAsia="黑体"/>
          <w:szCs w:val="21"/>
        </w:rPr>
        <w:br w:type="page"/>
      </w:r>
    </w:p>
    <w:p>
      <w:pPr>
        <w:pStyle w:val="13"/>
        <w:rPr>
          <w:sz w:val="72"/>
          <w:szCs w:val="72"/>
        </w:rPr>
      </w:pPr>
    </w:p>
    <w:p>
      <w:pPr>
        <w:pStyle w:val="13"/>
        <w:rPr>
          <w:sz w:val="72"/>
          <w:szCs w:val="72"/>
        </w:rPr>
      </w:pPr>
    </w:p>
    <w:p>
      <w:pPr>
        <w:pStyle w:val="13"/>
        <w:rPr>
          <w:sz w:val="72"/>
          <w:szCs w:val="72"/>
        </w:rPr>
      </w:pPr>
    </w:p>
    <w:p>
      <w:pPr>
        <w:pStyle w:val="13"/>
        <w:rPr>
          <w:sz w:val="72"/>
          <w:szCs w:val="72"/>
        </w:rPr>
      </w:pPr>
    </w:p>
    <w:p>
      <w:pPr>
        <w:pStyle w:val="13"/>
        <w:jc w:val="center"/>
        <w:rPr>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pPr>
        <w:pStyle w:val="13"/>
        <w:jc w:val="center"/>
        <w:rPr>
          <w:rFonts w:hint="eastAsia" w:ascii="方正小标宋_GBK" w:hAnsi="方正小标宋_GBK" w:eastAsia="方正小标宋_GBK" w:cs="方正小标宋_GBK"/>
          <w:sz w:val="70"/>
          <w:szCs w:val="70"/>
        </w:rPr>
      </w:pPr>
    </w:p>
    <w:p>
      <w:pPr>
        <w:pStyle w:val="13"/>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2</w:t>
      </w:r>
      <w:r>
        <w:rPr>
          <w:rFonts w:hint="eastAsia" w:ascii="方正小标宋_GBK" w:hAnsi="方正小标宋_GBK" w:eastAsia="方正小标宋_GBK" w:cs="方正小标宋_GBK"/>
          <w:sz w:val="70"/>
          <w:szCs w:val="70"/>
        </w:rPr>
        <w:t>年度部门决算情况说明</w:t>
      </w:r>
    </w:p>
    <w:p>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52539.45</w:t>
      </w:r>
      <w:r>
        <w:rPr>
          <w:rFonts w:hint="eastAsia" w:ascii="Times New Roman" w:hAnsi="Times New Roman" w:eastAsia="仿宋_GB2312"/>
          <w:sz w:val="32"/>
          <w:szCs w:val="32"/>
        </w:rPr>
        <w:t>万元。与上年相比，减少</w:t>
      </w:r>
      <w:r>
        <w:rPr>
          <w:rFonts w:hint="eastAsia" w:ascii="Times New Roman" w:hAnsi="Times New Roman" w:eastAsia="仿宋_GB2312"/>
          <w:sz w:val="32"/>
          <w:szCs w:val="32"/>
          <w:lang w:val="en-US" w:eastAsia="zh-CN"/>
        </w:rPr>
        <w:t>5395.26</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9.31</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节约开支。</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25880.08</w:t>
      </w:r>
      <w:r>
        <w:rPr>
          <w:rFonts w:hint="eastAsia" w:ascii="Times New Roman" w:hAnsi="Times New Roman" w:eastAsia="仿宋_GB2312"/>
          <w:sz w:val="32"/>
          <w:szCs w:val="32"/>
        </w:rPr>
        <w:t>万元，其中：财政拨款收入</w:t>
      </w:r>
      <w:r>
        <w:rPr>
          <w:rFonts w:hint="eastAsia" w:ascii="Times New Roman" w:hAnsi="Times New Roman" w:eastAsia="仿宋_GB2312"/>
          <w:sz w:val="32"/>
          <w:szCs w:val="32"/>
          <w:lang w:val="en-US" w:eastAsia="zh-CN"/>
        </w:rPr>
        <w:t>21270.47</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82.19</w:t>
      </w:r>
      <w:r>
        <w:rPr>
          <w:rFonts w:hint="eastAsia" w:ascii="Times New Roman" w:hAnsi="Times New Roman" w:eastAsia="仿宋_GB2312"/>
          <w:sz w:val="32"/>
          <w:szCs w:val="32"/>
        </w:rPr>
        <w:t>%；上级补助收入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%；事业收</w:t>
      </w:r>
      <w:r>
        <w:rPr>
          <w:rFonts w:hint="eastAsia" w:ascii="Times New Roman" w:hAnsi="Times New Roman" w:eastAsia="仿宋_GB2312"/>
          <w:sz w:val="32"/>
          <w:szCs w:val="32"/>
          <w:lang w:val="en-US" w:eastAsia="zh-CN"/>
        </w:rPr>
        <w:t>1727.36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6.67</w:t>
      </w:r>
      <w:r>
        <w:rPr>
          <w:rFonts w:hint="eastAsia" w:ascii="Times New Roman" w:hAnsi="Times New Roman" w:eastAsia="仿宋_GB2312"/>
          <w:sz w:val="32"/>
          <w:szCs w:val="32"/>
        </w:rPr>
        <w:t>%；经营收入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%；附属单位上缴收入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%；其他收入</w:t>
      </w:r>
      <w:r>
        <w:rPr>
          <w:rFonts w:hint="eastAsia" w:ascii="Times New Roman" w:hAnsi="Times New Roman" w:eastAsia="仿宋_GB2312"/>
          <w:sz w:val="32"/>
          <w:szCs w:val="32"/>
          <w:lang w:val="en-US" w:eastAsia="zh-CN"/>
        </w:rPr>
        <w:t>2882.25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11.14</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26659.37</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9511.24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35.68</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17148.13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64.32</w:t>
      </w:r>
      <w:r>
        <w:rPr>
          <w:rFonts w:hint="eastAsia" w:ascii="Times New Roman" w:hAnsi="Times New Roman" w:eastAsia="仿宋_GB2312"/>
          <w:sz w:val="32"/>
          <w:szCs w:val="32"/>
        </w:rPr>
        <w:t>%；上缴上级支出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%；经营支出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%；对附属单位补助支出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pPr>
        <w:pStyle w:val="13"/>
        <w:keepNext w:val="0"/>
        <w:keepLines w:val="0"/>
        <w:pageBreakBefore w:val="0"/>
        <w:widowControl w:val="0"/>
        <w:kinsoku/>
        <w:wordWrap/>
        <w:overflowPunct/>
        <w:topLinePunct w:val="0"/>
        <w:bidi w:val="0"/>
        <w:snapToGrid/>
        <w:spacing w:line="600" w:lineRule="exact"/>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42630.99</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5294.98</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14.18</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项目投入加大</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（一）财政拨款支出决算总体情况</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21245.02</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79.69</w:t>
      </w:r>
      <w:r>
        <w:rPr>
          <w:rFonts w:hint="eastAsia" w:ascii="Times New Roman" w:hAnsi="Times New Roman" w:eastAsia="仿宋_GB2312"/>
          <w:sz w:val="32"/>
          <w:szCs w:val="32"/>
        </w:rPr>
        <w:t>%，与上年相比，财政拨款支出减少</w:t>
      </w:r>
      <w:r>
        <w:rPr>
          <w:rFonts w:hint="eastAsia" w:ascii="Times New Roman" w:hAnsi="Times New Roman" w:eastAsia="仿宋_GB2312"/>
          <w:sz w:val="32"/>
          <w:szCs w:val="32"/>
          <w:lang w:val="en-US" w:eastAsia="zh-CN"/>
        </w:rPr>
        <w:t>3587.1</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20.31</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val="en-US" w:eastAsia="zh-CN"/>
        </w:rPr>
        <w:t>节约开支，人员退休，项目款支出减少。</w:t>
      </w:r>
    </w:p>
    <w:p>
      <w:pPr>
        <w:pStyle w:val="13"/>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（二）财政拨款支出决算结构情况</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21245.02</w:t>
      </w:r>
      <w:r>
        <w:rPr>
          <w:rFonts w:hint="eastAsia" w:ascii="Times New Roman" w:hAnsi="Times New Roman" w:eastAsia="仿宋_GB2312"/>
          <w:sz w:val="32"/>
          <w:szCs w:val="32"/>
        </w:rPr>
        <w:t>万元，主要用于以下方面：一般公共服务（类）支出</w:t>
      </w:r>
      <w:r>
        <w:rPr>
          <w:rFonts w:hint="eastAsia" w:ascii="Times New Roman" w:hAnsi="Times New Roman" w:eastAsia="仿宋_GB2312"/>
          <w:sz w:val="32"/>
          <w:szCs w:val="32"/>
          <w:lang w:val="en-US" w:eastAsia="zh-CN"/>
        </w:rPr>
        <w:t>194.1</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0.91</w:t>
      </w:r>
      <w:r>
        <w:rPr>
          <w:rFonts w:hint="eastAsia" w:ascii="Times New Roman" w:hAnsi="Times New Roman" w:eastAsia="仿宋_GB2312"/>
          <w:sz w:val="32"/>
          <w:szCs w:val="32"/>
        </w:rPr>
        <w:t>%；社会保障和就业支出</w:t>
      </w:r>
      <w:r>
        <w:rPr>
          <w:rFonts w:hint="eastAsia" w:ascii="Times New Roman" w:hAnsi="Times New Roman" w:eastAsia="仿宋_GB2312"/>
          <w:sz w:val="32"/>
          <w:szCs w:val="32"/>
        </w:rPr>
        <w:tab/>
      </w:r>
      <w:r>
        <w:rPr>
          <w:rFonts w:hint="eastAsia" w:ascii="Times New Roman" w:hAnsi="Times New Roman" w:eastAsia="仿宋_GB2312"/>
          <w:sz w:val="32"/>
          <w:szCs w:val="32"/>
        </w:rPr>
        <w:t>139.31万元，占</w:t>
      </w:r>
      <w:r>
        <w:rPr>
          <w:rFonts w:hint="eastAsia" w:ascii="Times New Roman" w:hAnsi="Times New Roman" w:eastAsia="仿宋_GB2312"/>
          <w:sz w:val="32"/>
          <w:szCs w:val="32"/>
          <w:lang w:val="en-US" w:eastAsia="zh-CN"/>
        </w:rPr>
        <w:t>0.57</w:t>
      </w:r>
      <w:r>
        <w:rPr>
          <w:rFonts w:hint="eastAsia" w:ascii="Times New Roman" w:hAnsi="Times New Roman" w:eastAsia="仿宋_GB2312"/>
          <w:sz w:val="32"/>
          <w:szCs w:val="32"/>
        </w:rPr>
        <w:t>%；节能环保支出1350万元，占</w:t>
      </w:r>
      <w:r>
        <w:rPr>
          <w:rFonts w:hint="eastAsia" w:ascii="Times New Roman" w:hAnsi="Times New Roman" w:eastAsia="仿宋_GB2312"/>
          <w:sz w:val="32"/>
          <w:szCs w:val="32"/>
          <w:lang w:val="en-US" w:eastAsia="zh-CN"/>
        </w:rPr>
        <w:t>6.35</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农林水支出18960.71万元，占</w:t>
      </w:r>
      <w:r>
        <w:rPr>
          <w:rFonts w:hint="eastAsia" w:ascii="Times New Roman" w:hAnsi="Times New Roman" w:eastAsia="仿宋_GB2312"/>
          <w:sz w:val="32"/>
          <w:szCs w:val="32"/>
          <w:lang w:val="en-US" w:eastAsia="zh-CN"/>
        </w:rPr>
        <w:t>89.25</w:t>
      </w:r>
      <w:r>
        <w:rPr>
          <w:rFonts w:hint="eastAsia" w:ascii="Times New Roman" w:hAnsi="Times New Roman" w:eastAsia="仿宋_GB2312"/>
          <w:sz w:val="32"/>
          <w:szCs w:val="32"/>
        </w:rPr>
        <w:t>%；住房保障支出366.19万元，占</w:t>
      </w:r>
      <w:r>
        <w:rPr>
          <w:rFonts w:hint="eastAsia" w:ascii="Times New Roman" w:hAnsi="Times New Roman" w:eastAsia="仿宋_GB2312"/>
          <w:sz w:val="32"/>
          <w:szCs w:val="32"/>
          <w:lang w:val="en-US" w:eastAsia="zh-CN"/>
        </w:rPr>
        <w:t>1.72</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灾害防治及应急管理支出</w:t>
      </w:r>
      <w:r>
        <w:rPr>
          <w:rFonts w:hint="eastAsia" w:ascii="Times New Roman" w:hAnsi="Times New Roman" w:eastAsia="仿宋_GB2312"/>
          <w:sz w:val="32"/>
          <w:szCs w:val="32"/>
        </w:rPr>
        <w:tab/>
      </w:r>
      <w:r>
        <w:rPr>
          <w:rFonts w:hint="eastAsia" w:ascii="Times New Roman" w:hAnsi="Times New Roman" w:eastAsia="仿宋_GB2312"/>
          <w:sz w:val="32"/>
          <w:szCs w:val="32"/>
        </w:rPr>
        <w:t>24.75万元，占</w:t>
      </w:r>
      <w:r>
        <w:rPr>
          <w:rFonts w:hint="eastAsia" w:ascii="Times New Roman" w:hAnsi="Times New Roman" w:eastAsia="仿宋_GB2312"/>
          <w:sz w:val="32"/>
          <w:szCs w:val="32"/>
          <w:lang w:val="en-US" w:eastAsia="zh-CN"/>
        </w:rPr>
        <w:t>0.1</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其他支出209.96万元，占</w:t>
      </w:r>
      <w:r>
        <w:rPr>
          <w:rFonts w:hint="eastAsia" w:ascii="Times New Roman" w:hAnsi="Times New Roman" w:eastAsia="仿宋_GB2312"/>
          <w:sz w:val="32"/>
          <w:szCs w:val="32"/>
          <w:lang w:val="en-US" w:eastAsia="zh-CN"/>
        </w:rPr>
        <w:t>0.99</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（三）财政拨款支出决算具体情况</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20000</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21245.02</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106.23</w:t>
      </w:r>
      <w:r>
        <w:rPr>
          <w:rFonts w:hint="eastAsia" w:ascii="Times New Roman" w:hAnsi="Times New Roman" w:eastAsia="仿宋_GB2312"/>
          <w:sz w:val="32"/>
          <w:szCs w:val="32"/>
        </w:rPr>
        <w:t>%，其中：</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1、一般公共服务（类）政府办公厅（室）及相关机构事务（款）其他发展与改革事务支出（项）。</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194.1</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0.91</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val="en-US" w:eastAsia="zh-CN"/>
        </w:rPr>
        <w:t>项目支出。</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2、农林水支出（类）。</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rPr>
        <w:t>年初预算为</w:t>
      </w:r>
      <w:r>
        <w:rPr>
          <w:rFonts w:hint="eastAsia" w:ascii="Times New Roman" w:hAnsi="Times New Roman" w:eastAsia="仿宋_GB2312"/>
          <w:sz w:val="32"/>
          <w:szCs w:val="32"/>
          <w:lang w:val="en-US" w:eastAsia="zh-CN"/>
        </w:rPr>
        <w:t>15000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18960.71</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126.4</w:t>
      </w:r>
      <w:r>
        <w:rPr>
          <w:rFonts w:hint="eastAsia" w:ascii="Times New Roman" w:hAnsi="Times New Roman" w:eastAsia="仿宋_GB2312"/>
          <w:sz w:val="32"/>
          <w:szCs w:val="32"/>
        </w:rPr>
        <w:t>%，决算数大于年初预算数的主要原因是：</w:t>
      </w:r>
      <w:r>
        <w:rPr>
          <w:rFonts w:hint="eastAsia" w:ascii="Times New Roman" w:hAnsi="Times New Roman" w:eastAsia="仿宋_GB2312"/>
          <w:sz w:val="32"/>
          <w:szCs w:val="32"/>
          <w:lang w:val="en-US" w:eastAsia="zh-CN"/>
        </w:rPr>
        <w:t>项目支出加大。</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7954.59</w:t>
      </w:r>
      <w:r>
        <w:rPr>
          <w:rFonts w:hint="eastAsia" w:ascii="Times New Roman" w:hAnsi="Times New Roman" w:eastAsia="仿宋_GB2312"/>
          <w:sz w:val="32"/>
          <w:szCs w:val="32"/>
        </w:rPr>
        <w:t>万元，其中：</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6446.61</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81.04</w:t>
      </w:r>
      <w:r>
        <w:rPr>
          <w:rFonts w:hint="eastAsia" w:ascii="Times New Roman" w:hAnsi="Times New Roman" w:eastAsia="仿宋_GB2312"/>
          <w:sz w:val="32"/>
          <w:szCs w:val="32"/>
        </w:rPr>
        <w:t>%,主要包括基本工资、津贴补贴、奖金、伙食补助费</w:t>
      </w:r>
      <w:r>
        <w:rPr>
          <w:rFonts w:ascii="Times New Roman" w:hAnsi="Times New Roman" w:eastAsia="仿宋_GB2312"/>
          <w:sz w:val="32"/>
          <w:szCs w:val="32"/>
        </w:rPr>
        <w:t>……</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b/>
          <w:sz w:val="32"/>
          <w:szCs w:val="32"/>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1507.97</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18.96</w:t>
      </w:r>
      <w:r>
        <w:rPr>
          <w:rFonts w:hint="eastAsia" w:ascii="Times New Roman" w:hAnsi="Times New Roman" w:eastAsia="仿宋_GB2312"/>
          <w:sz w:val="32"/>
          <w:szCs w:val="32"/>
        </w:rPr>
        <w:t>%，主要包括办公费、印刷费、咨询费、手续费</w:t>
      </w:r>
      <w:r>
        <w:rPr>
          <w:rFonts w:ascii="Times New Roman" w:hAnsi="Times New Roman" w:eastAsia="仿宋_GB2312"/>
          <w:sz w:val="32"/>
          <w:szCs w:val="32"/>
        </w:rPr>
        <w:t>……</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黑体" w:hAnsi="黑体" w:eastAsia="黑体" w:cs="黑体"/>
          <w:b w:val="0"/>
          <w:bCs/>
          <w:sz w:val="32"/>
          <w:szCs w:val="32"/>
        </w:rPr>
        <w:t>七、财政拨款三公经费支出决算情况说明</w:t>
      </w:r>
      <w:r>
        <w:rPr>
          <w:rFonts w:hint="eastAsia" w:ascii="楷体" w:hAnsi="楷体" w:eastAsia="楷体" w:cs="楷体"/>
          <w:b/>
          <w:bCs/>
          <w:i/>
          <w:color w:val="auto"/>
          <w:sz w:val="32"/>
          <w:szCs w:val="32"/>
          <w:lang w:eastAsia="zh-CN"/>
        </w:rPr>
        <w:t>（注意：三公经费情况说明，往年为一般公共预算财政拨款口径，今年为财政拨款口径）</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17.14</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15.43</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90.02</w:t>
      </w:r>
      <w:r>
        <w:rPr>
          <w:rFonts w:hint="eastAsia" w:ascii="Times New Roman" w:hAnsi="Times New Roman" w:eastAsia="仿宋_GB2312"/>
          <w:sz w:val="32"/>
          <w:szCs w:val="32"/>
        </w:rPr>
        <w:t>%，其中：</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%，与上年相比减少（增加）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万元，减少（增长）</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17.14</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15.43</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90.02</w:t>
      </w:r>
      <w:r>
        <w:rPr>
          <w:rFonts w:hint="eastAsia" w:ascii="Times New Roman" w:hAnsi="Times New Roman" w:eastAsia="仿宋_GB2312"/>
          <w:sz w:val="32"/>
          <w:szCs w:val="32"/>
        </w:rPr>
        <w:t>%，决算数小于预算数的主要原因是</w:t>
      </w:r>
      <w:r>
        <w:rPr>
          <w:rFonts w:hint="eastAsia" w:ascii="Times New Roman" w:hAnsi="Times New Roman" w:eastAsia="仿宋_GB2312"/>
          <w:sz w:val="32"/>
          <w:szCs w:val="32"/>
          <w:lang w:val="en-US" w:eastAsia="zh-CN"/>
        </w:rPr>
        <w:t>节约开支</w:t>
      </w:r>
      <w:r>
        <w:rPr>
          <w:rFonts w:hint="eastAsia" w:ascii="Times New Roman" w:hAnsi="Times New Roman" w:eastAsia="仿宋_GB2312"/>
          <w:sz w:val="32"/>
          <w:szCs w:val="32"/>
        </w:rPr>
        <w:t>，与上年相比</w:t>
      </w:r>
      <w:r>
        <w:rPr>
          <w:rFonts w:hint="eastAsia" w:ascii="Times New Roman" w:hAnsi="Times New Roman" w:eastAsia="仿宋_GB2312"/>
          <w:sz w:val="32"/>
          <w:szCs w:val="32"/>
          <w:lang w:val="en-US" w:eastAsia="zh-CN"/>
        </w:rPr>
        <w:t>减少4.44</w:t>
      </w:r>
      <w:r>
        <w:rPr>
          <w:rFonts w:hint="eastAsia" w:ascii="Times New Roman" w:hAnsi="Times New Roman" w:eastAsia="仿宋_GB2312"/>
          <w:sz w:val="32"/>
          <w:szCs w:val="32"/>
        </w:rPr>
        <w:t>万元，减少</w:t>
      </w:r>
      <w:r>
        <w:rPr>
          <w:rFonts w:hint="eastAsia" w:ascii="Times New Roman" w:hAnsi="Times New Roman" w:eastAsia="仿宋_GB2312"/>
          <w:sz w:val="32"/>
          <w:szCs w:val="32"/>
          <w:lang w:val="en-US" w:eastAsia="zh-CN"/>
        </w:rPr>
        <w:t>22.35</w:t>
      </w:r>
      <w:r>
        <w:rPr>
          <w:rFonts w:hint="eastAsia" w:ascii="Times New Roman" w:hAnsi="Times New Roman" w:eastAsia="仿宋_GB2312"/>
          <w:sz w:val="32"/>
          <w:szCs w:val="32"/>
        </w:rPr>
        <w:t>%,减少（增长）的主要原因是</w:t>
      </w:r>
      <w:r>
        <w:rPr>
          <w:rFonts w:hint="eastAsia" w:ascii="Times New Roman" w:hAnsi="Times New Roman" w:eastAsia="仿宋_GB2312"/>
          <w:sz w:val="32"/>
          <w:szCs w:val="32"/>
          <w:lang w:val="en-US" w:eastAsia="zh-CN"/>
        </w:rPr>
        <w:t>节约开支</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%，与上年相比减少（增加）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万元，减少（增长）</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与上年相比减少（增加）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万元，减少（增长）</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15.43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90.02</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%。其中：</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仿宋_GB2312" w:cs="楷体"/>
          <w:b/>
          <w:bCs/>
          <w:i/>
          <w:color w:val="auto"/>
          <w:sz w:val="32"/>
          <w:szCs w:val="32"/>
          <w:lang w:val="en-US" w:eastAsia="zh-CN"/>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p>
    <w:p>
      <w:pPr>
        <w:pStyle w:val="13"/>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15.43</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965</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3858</w:t>
      </w:r>
      <w:r>
        <w:rPr>
          <w:rFonts w:hint="eastAsia" w:ascii="Times New Roman" w:hAnsi="Times New Roman" w:eastAsia="仿宋_GB2312"/>
          <w:sz w:val="32"/>
          <w:szCs w:val="32"/>
        </w:rPr>
        <w:t>人次，主要是</w:t>
      </w:r>
      <w:r>
        <w:rPr>
          <w:rFonts w:hint="eastAsia" w:ascii="Times New Roman" w:hAnsi="Times New Roman" w:eastAsia="仿宋_GB2312"/>
          <w:sz w:val="32"/>
          <w:szCs w:val="32"/>
          <w:lang w:val="en-US" w:eastAsia="zh-CN"/>
        </w:rPr>
        <w:t>检查接待</w:t>
      </w:r>
      <w:r>
        <w:rPr>
          <w:rFonts w:hint="eastAsia" w:ascii="Times New Roman" w:hAnsi="Times New Roman" w:eastAsia="仿宋_GB2312"/>
          <w:sz w:val="32"/>
          <w:szCs w:val="32"/>
        </w:rPr>
        <w:t>发生的接待支出。</w:t>
      </w:r>
    </w:p>
    <w:p>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（单位本级或某二级机构）更新公务用车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万元，主要是</w:t>
      </w:r>
      <w:r>
        <w:rPr>
          <w:rFonts w:ascii="Times New Roman" w:hAnsi="Times New Roman" w:eastAsia="仿宋_GB2312"/>
          <w:sz w:val="32"/>
          <w:szCs w:val="32"/>
        </w:rPr>
        <w:t>……</w:t>
      </w:r>
      <w:r>
        <w:rPr>
          <w:rFonts w:hint="eastAsia" w:ascii="Times New Roman" w:hAnsi="Times New Roman" w:eastAsia="仿宋_GB2312"/>
          <w:sz w:val="32"/>
          <w:szCs w:val="32"/>
        </w:rPr>
        <w:t>支出，截止202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pPr>
        <w:pStyle w:val="13"/>
        <w:keepNext w:val="0"/>
        <w:keepLines w:val="0"/>
        <w:pageBreakBefore w:val="0"/>
        <w:widowControl w:val="0"/>
        <w:kinsoku/>
        <w:wordWrap/>
        <w:overflowPunct/>
        <w:topLinePunct w:val="0"/>
        <w:bidi w:val="0"/>
        <w:snapToGrid/>
        <w:spacing w:line="600" w:lineRule="exact"/>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年度政府性基金预算财政拨款收入</w:t>
      </w:r>
      <w:r>
        <w:rPr>
          <w:rFonts w:hint="eastAsia" w:ascii="Times New Roman" w:hAnsi="Times New Roman" w:eastAsia="仿宋_GB2312"/>
          <w:sz w:val="32"/>
          <w:szCs w:val="32"/>
          <w:lang w:val="en-US" w:eastAsia="zh-CN"/>
        </w:rPr>
        <w:t>115.5</w:t>
      </w:r>
      <w:r>
        <w:rPr>
          <w:rFonts w:hint="eastAsia" w:ascii="Times New Roman" w:hAnsi="Times New Roman" w:eastAsia="仿宋_GB2312"/>
          <w:sz w:val="32"/>
          <w:szCs w:val="32"/>
        </w:rPr>
        <w:t>万元；年初结转和结余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w:t>
      </w:r>
      <w:r>
        <w:rPr>
          <w:rFonts w:hint="eastAsia" w:ascii="Times New Roman" w:hAnsi="Times New Roman" w:eastAsia="仿宋_GB2312"/>
          <w:sz w:val="32"/>
          <w:szCs w:val="32"/>
          <w:lang w:val="en-US" w:eastAsia="zh-CN"/>
        </w:rPr>
        <w:t>115.5</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万元，项目支出</w:t>
      </w:r>
      <w:r>
        <w:rPr>
          <w:rFonts w:hint="eastAsia" w:ascii="Times New Roman" w:hAnsi="Times New Roman" w:eastAsia="仿宋_GB2312"/>
          <w:sz w:val="32"/>
          <w:szCs w:val="32"/>
          <w:lang w:val="en-US" w:eastAsia="zh-CN"/>
        </w:rPr>
        <w:t>115.5</w:t>
      </w:r>
      <w:r>
        <w:rPr>
          <w:rFonts w:hint="eastAsia" w:ascii="Times New Roman" w:hAnsi="Times New Roman" w:eastAsia="仿宋_GB2312"/>
          <w:sz w:val="32"/>
          <w:szCs w:val="32"/>
        </w:rPr>
        <w:t>万元；年末结转和结余</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万元。具体情况如下：</w:t>
      </w:r>
      <w:r>
        <w:rPr>
          <w:rFonts w:hint="eastAsia" w:ascii="Times New Roman" w:hAnsi="Times New Roman" w:eastAsia="仿宋_GB2312"/>
          <w:sz w:val="32"/>
          <w:szCs w:val="32"/>
          <w:lang w:val="en-US" w:eastAsia="zh-CN"/>
        </w:rPr>
        <w:t>三峡后续工作90.13万元，其他政府性基金安排25.37万元。</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Times New Roman" w:hAnsi="Times New Roman" w:eastAsia="仿宋_GB2312"/>
          <w:b/>
          <w:sz w:val="32"/>
          <w:szCs w:val="32"/>
        </w:rPr>
        <w:t>九、关于机关运行经费支出说明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408</w:t>
      </w:r>
      <w:r>
        <w:rPr>
          <w:rFonts w:hint="eastAsia" w:ascii="Times New Roman" w:hAnsi="Times New Roman" w:eastAsia="仿宋_GB2312"/>
          <w:sz w:val="32"/>
          <w:szCs w:val="32"/>
        </w:rPr>
        <w:t>万元</w:t>
      </w:r>
      <w:r>
        <w:rPr>
          <w:rFonts w:hint="eastAsia" w:ascii="楷体" w:hAnsi="楷体" w:eastAsia="楷体" w:cs="楷体"/>
          <w:b/>
          <w:bCs/>
          <w:i/>
          <w:color w:val="auto"/>
          <w:kern w:val="0"/>
          <w:sz w:val="32"/>
          <w:szCs w:val="32"/>
          <w:lang w:val="en-US" w:eastAsia="zh-CN" w:bidi="ar-SA"/>
        </w:rPr>
        <w:t>（与部门决算中行政单位和参照公务员法管理事业单位一般公共预算财政拨款基本支出中公用经费之和一致）</w:t>
      </w:r>
      <w:r>
        <w:rPr>
          <w:rFonts w:hint="eastAsia" w:ascii="Times New Roman" w:hAnsi="Times New Roman" w:eastAsia="仿宋_GB2312"/>
          <w:sz w:val="32"/>
          <w:szCs w:val="32"/>
        </w:rPr>
        <w:t>，比年初预算数（或者上年决算数）增加（减少）</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 xml:space="preserve"> 万元，增长（降低）</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%。主要原因是：</w:t>
      </w:r>
      <w:r>
        <w:rPr>
          <w:rFonts w:hint="eastAsia" w:ascii="Times New Roman" w:hAnsi="Times New Roman" w:eastAsia="仿宋_GB2312"/>
          <w:sz w:val="32"/>
          <w:szCs w:val="32"/>
          <w:lang w:val="en-US" w:eastAsia="zh-CN"/>
        </w:rPr>
        <w:t>与预算保持一致</w:t>
      </w:r>
      <w:r>
        <w:rPr>
          <w:rFonts w:hint="eastAsia" w:ascii="Times New Roman" w:hAnsi="Times New Roman" w:eastAsia="仿宋_GB2312"/>
          <w:sz w:val="32"/>
          <w:szCs w:val="32"/>
        </w:rPr>
        <w:t>。</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4.28</w:t>
      </w:r>
      <w:r>
        <w:rPr>
          <w:rFonts w:hint="eastAsia" w:ascii="Times New Roman" w:hAnsi="Times New Roman" w:eastAsia="仿宋_GB2312"/>
          <w:sz w:val="32"/>
          <w:szCs w:val="32"/>
        </w:rPr>
        <w:t>万元，用于召开</w:t>
      </w:r>
      <w:r>
        <w:rPr>
          <w:rFonts w:hint="eastAsia" w:ascii="Times New Roman" w:hAnsi="Times New Roman" w:eastAsia="仿宋_GB2312"/>
          <w:sz w:val="32"/>
          <w:szCs w:val="32"/>
          <w:lang w:val="en-US" w:eastAsia="zh-CN"/>
        </w:rPr>
        <w:t>机关及各二级单位</w:t>
      </w:r>
      <w:r>
        <w:rPr>
          <w:rFonts w:hint="eastAsia" w:ascii="Times New Roman" w:hAnsi="Times New Roman" w:eastAsia="仿宋_GB2312"/>
          <w:sz w:val="32"/>
          <w:szCs w:val="32"/>
        </w:rPr>
        <w:t>会议，人数</w:t>
      </w:r>
      <w:r>
        <w:rPr>
          <w:rFonts w:hint="eastAsia" w:ascii="Times New Roman" w:hAnsi="Times New Roman" w:eastAsia="仿宋_GB2312"/>
          <w:sz w:val="32"/>
          <w:szCs w:val="32"/>
          <w:lang w:val="en-US" w:eastAsia="zh-CN"/>
        </w:rPr>
        <w:t>1000</w:t>
      </w:r>
      <w:r>
        <w:rPr>
          <w:rFonts w:hint="eastAsia" w:ascii="Times New Roman" w:hAnsi="Times New Roman" w:eastAsia="仿宋_GB2312"/>
          <w:sz w:val="32"/>
          <w:szCs w:val="32"/>
        </w:rPr>
        <w:t>人，内容为</w:t>
      </w:r>
      <w:r>
        <w:rPr>
          <w:rFonts w:hint="eastAsia" w:ascii="Times New Roman" w:hAnsi="Times New Roman" w:eastAsia="仿宋_GB2312"/>
          <w:sz w:val="32"/>
          <w:szCs w:val="32"/>
          <w:lang w:val="en-US" w:eastAsia="zh-CN"/>
        </w:rPr>
        <w:t>各单位自主召开会议及机关组织会议</w:t>
      </w:r>
      <w:r>
        <w:rPr>
          <w:rFonts w:hint="eastAsia" w:ascii="Times New Roman" w:hAnsi="Times New Roman" w:eastAsia="仿宋_GB2312"/>
          <w:sz w:val="32"/>
          <w:szCs w:val="32"/>
        </w:rPr>
        <w:t>；开支培训费</w:t>
      </w:r>
      <w:r>
        <w:rPr>
          <w:rFonts w:hint="eastAsia" w:ascii="Times New Roman" w:hAnsi="Times New Roman" w:eastAsia="仿宋_GB2312"/>
          <w:sz w:val="32"/>
          <w:szCs w:val="32"/>
          <w:lang w:val="en-US" w:eastAsia="zh-CN"/>
        </w:rPr>
        <w:t>22.42</w:t>
      </w:r>
      <w:r>
        <w:rPr>
          <w:rFonts w:hint="eastAsia" w:ascii="Times New Roman" w:hAnsi="Times New Roman" w:eastAsia="仿宋_GB2312"/>
          <w:sz w:val="32"/>
          <w:szCs w:val="32"/>
        </w:rPr>
        <w:t>万元，用于开展</w:t>
      </w:r>
      <w:r>
        <w:rPr>
          <w:rFonts w:hint="eastAsia" w:ascii="Times New Roman" w:hAnsi="Times New Roman" w:eastAsia="仿宋_GB2312"/>
          <w:sz w:val="32"/>
          <w:szCs w:val="32"/>
          <w:lang w:val="en-US" w:eastAsia="zh-CN"/>
        </w:rPr>
        <w:t>事业人员继续教育</w:t>
      </w:r>
      <w:r>
        <w:rPr>
          <w:rFonts w:hint="eastAsia" w:ascii="Times New Roman" w:hAnsi="Times New Roman" w:eastAsia="仿宋_GB2312"/>
          <w:sz w:val="32"/>
          <w:szCs w:val="32"/>
        </w:rPr>
        <w:t>培训，人数</w:t>
      </w:r>
      <w:r>
        <w:rPr>
          <w:rFonts w:hint="eastAsia" w:ascii="Times New Roman" w:hAnsi="Times New Roman" w:eastAsia="仿宋_GB2312"/>
          <w:sz w:val="32"/>
          <w:szCs w:val="32"/>
          <w:lang w:val="en-US" w:eastAsia="zh-CN"/>
        </w:rPr>
        <w:t>350</w:t>
      </w:r>
      <w:r>
        <w:rPr>
          <w:rFonts w:hint="eastAsia" w:ascii="Times New Roman" w:hAnsi="Times New Roman" w:eastAsia="仿宋_GB2312"/>
          <w:sz w:val="32"/>
          <w:szCs w:val="32"/>
        </w:rPr>
        <w:t>人，内容为</w:t>
      </w:r>
      <w:r>
        <w:rPr>
          <w:rFonts w:hint="eastAsia" w:ascii="Times New Roman" w:hAnsi="Times New Roman" w:eastAsia="仿宋_GB2312"/>
          <w:sz w:val="32"/>
          <w:szCs w:val="32"/>
          <w:lang w:val="en-US" w:eastAsia="zh-CN"/>
        </w:rPr>
        <w:t>继续教育</w:t>
      </w:r>
      <w:r>
        <w:rPr>
          <w:rFonts w:hint="eastAsia" w:ascii="Times New Roman" w:hAnsi="Times New Roman" w:eastAsia="仿宋_GB2312"/>
          <w:sz w:val="32"/>
          <w:szCs w:val="32"/>
        </w:rPr>
        <w:t>；</w:t>
      </w:r>
      <w:r>
        <w:rPr>
          <w:rFonts w:hint="eastAsia" w:ascii="Times New Roman" w:hAnsi="Times New Roman" w:eastAsia="仿宋_GB2312"/>
          <w:sz w:val="32"/>
          <w:szCs w:val="32"/>
          <w:lang w:val="en-US" w:eastAsia="zh-CN"/>
        </w:rPr>
        <w:t>没有</w:t>
      </w:r>
      <w:r>
        <w:rPr>
          <w:rFonts w:hint="eastAsia" w:ascii="Times New Roman" w:hAnsi="Times New Roman" w:eastAsia="仿宋_GB2312"/>
          <w:sz w:val="32"/>
          <w:szCs w:val="32"/>
        </w:rPr>
        <w:t>举办节庆、晚会、论坛、赛事活动。</w:t>
      </w:r>
      <w:r>
        <w:rPr>
          <w:rFonts w:hint="eastAsia" w:ascii="楷体" w:hAnsi="楷体" w:eastAsia="楷体" w:cs="楷体"/>
          <w:b/>
          <w:bCs/>
          <w:i/>
          <w:color w:val="auto"/>
          <w:kern w:val="0"/>
          <w:sz w:val="32"/>
          <w:szCs w:val="32"/>
          <w:lang w:val="en-US" w:eastAsia="zh-CN" w:bidi="ar-SA"/>
        </w:rPr>
        <w:t>（注：三类会议、培训活动，节庆、晚会、论坛、赛事等活动，请分项列明活动计划及经费预算情况）</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50</w:t>
      </w:r>
      <w:r>
        <w:rPr>
          <w:rFonts w:hint="eastAsia" w:ascii="Times New Roman" w:hAnsi="Times New Roman" w:eastAsia="仿宋_GB2312"/>
          <w:sz w:val="32"/>
          <w:szCs w:val="32"/>
        </w:rPr>
        <w:t>万元，其中：政府采购货物支出</w:t>
      </w:r>
      <w:r>
        <w:rPr>
          <w:rFonts w:hint="eastAsia" w:ascii="Times New Roman" w:hAnsi="Times New Roman" w:eastAsia="仿宋_GB2312"/>
          <w:sz w:val="32"/>
          <w:szCs w:val="32"/>
          <w:lang w:val="en-US" w:eastAsia="zh-CN"/>
        </w:rPr>
        <w:t>50</w:t>
      </w:r>
      <w:r>
        <w:rPr>
          <w:rFonts w:hint="eastAsia" w:ascii="Times New Roman" w:hAnsi="Times New Roman" w:eastAsia="仿宋_GB2312"/>
          <w:sz w:val="32"/>
          <w:szCs w:val="32"/>
        </w:rPr>
        <w:t>万元、政府采购工程支出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万元、政府采购服务支出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万元。授予中小企业合同金额</w:t>
      </w:r>
      <w:r>
        <w:rPr>
          <w:rFonts w:hint="eastAsia" w:ascii="Times New Roman" w:hAnsi="Times New Roman" w:eastAsia="仿宋_GB2312"/>
          <w:sz w:val="32"/>
          <w:szCs w:val="32"/>
          <w:lang w:val="en-US" w:eastAsia="zh-CN"/>
        </w:rPr>
        <w:t>50</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100</w:t>
      </w:r>
      <w:r>
        <w:rPr>
          <w:rFonts w:hint="eastAsia" w:ascii="Times New Roman" w:hAnsi="Times New Roman" w:eastAsia="仿宋_GB2312"/>
          <w:sz w:val="32"/>
          <w:szCs w:val="32"/>
        </w:rPr>
        <w:t>%，其中：授予小微企业合同金额</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万元，占政府采购支出总额的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%。货物采购授予中小企业合同金额占货物支出金额的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%，工程采购授予中小企业合同金额占工程支出金额的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%，服务采购授予中小企业合同金额占服务支出金额的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w:t>
      </w:r>
      <w:r>
        <w:rPr>
          <w:rFonts w:hint="eastAsia" w:ascii="楷体" w:hAnsi="楷体" w:eastAsia="楷体" w:cs="楷体"/>
          <w:b/>
          <w:bCs/>
          <w:i/>
          <w:color w:val="auto"/>
          <w:kern w:val="0"/>
          <w:sz w:val="32"/>
          <w:szCs w:val="32"/>
          <w:lang w:val="en-US" w:eastAsia="zh-CN" w:bidi="ar-SA"/>
        </w:rPr>
        <w:t>（政府采购金额的计算口径为：本部门纳入2022年度部门预算范围的各项政府采购支出金额之和，不包括涉密采购项目的支出金额）</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十二、关于国有资产占用情况说明</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截至202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年12月31日，本单位共有车辆</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辆，其中，主要领导干部用车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辆，机要通信用车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辆、应急保障用车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辆、执法执勤用车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辆、特种专业技术用车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辆、其他用车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辆；单位价值50万元以上通用设备</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台（套）；单位价值100万元以上专用设备</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台（套）。</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十三、关于</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黑体" w:hAnsi="黑体" w:eastAsia="黑体" w:cs="黑体"/>
          <w:b w:val="0"/>
          <w:bCs/>
          <w:sz w:val="32"/>
          <w:szCs w:val="32"/>
        </w:rPr>
        <w:t>年度预算绩效情况的说明</w:t>
      </w:r>
    </w:p>
    <w:p>
      <w:pPr>
        <w:pStyle w:val="13"/>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（一）</w:t>
      </w:r>
      <w:r>
        <w:rPr>
          <w:rFonts w:hint="eastAsia" w:ascii="楷体" w:hAnsi="楷体" w:eastAsia="楷体" w:cs="楷体"/>
          <w:b/>
          <w:bCs/>
          <w:sz w:val="32"/>
          <w:szCs w:val="32"/>
        </w:rPr>
        <w:t>部门整体支出绩效情况</w:t>
      </w:r>
    </w:p>
    <w:p>
      <w:pPr>
        <w:pStyle w:val="13"/>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2022年度，本部门整体支出和项目支出实行绩效目标管理，纳入2022年部门整体支出绩效目标的金额7907.37万元，其中，基本支出6439.61万元，项目支出1467.76万元。</w:t>
      </w:r>
    </w:p>
    <w:p>
      <w:pPr>
        <w:pStyle w:val="13"/>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减轻农民负担转移支付资金项目绩效评价：项目金额628万元，完成628目标，达到100%成效，获得100%收益。</w:t>
      </w:r>
    </w:p>
    <w:p>
      <w:pPr>
        <w:pStyle w:val="13"/>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砂石执法工作经费项目绩效评价：项目金额366万元，完成366万元目标，达到100%成效，获得100%收益。</w:t>
      </w:r>
    </w:p>
    <w:p>
      <w:pPr>
        <w:pStyle w:val="13"/>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存在的问题及原因分析</w:t>
      </w:r>
    </w:p>
    <w:p>
      <w:pPr>
        <w:pStyle w:val="6"/>
        <w:shd w:val="clear" w:color="auto" w:fill="FFFFFF"/>
        <w:spacing w:before="0" w:beforeAutospacing="0" w:after="0" w:afterAutospacing="0" w:line="420" w:lineRule="atLeast"/>
        <w:ind w:firstLine="645"/>
        <w:rPr>
          <w:rFonts w:ascii="Helvetica" w:hAnsi="Helvetica" w:cs="Helvetica"/>
          <w:color w:val="000000" w:themeColor="text1"/>
          <w14:textFill>
            <w14:solidFill>
              <w14:schemeClr w14:val="tx1"/>
            </w14:solidFill>
          </w14:textFill>
        </w:rPr>
      </w:pPr>
      <w:r>
        <w:rPr>
          <w:rStyle w:val="10"/>
          <w:rFonts w:hint="eastAsia" w:ascii="仿宋_GB2312" w:hAnsi="Helvetica" w:eastAsia="仿宋_GB2312" w:cs="Helvetica"/>
          <w:b w:val="0"/>
          <w:bCs w:val="0"/>
          <w:color w:val="000000" w:themeColor="text1"/>
          <w:sz w:val="32"/>
          <w:szCs w:val="32"/>
          <w14:textFill>
            <w14:solidFill>
              <w14:schemeClr w14:val="tx1"/>
            </w14:solidFill>
          </w14:textFill>
        </w:rPr>
        <w:t>1、从</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202</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2</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年账务支出结构分析，基本支出的</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93.01</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％为人员支出，由于财政下拨的年初预算只按平均每人</w:t>
      </w: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1</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万元的标准安排单位人头经费，远远小于人员支出以及公用支出的刚性需求，必须使用财政的其他拨款弥补人员支出。</w:t>
      </w:r>
      <w:r>
        <w:rPr>
          <w:rStyle w:val="10"/>
          <w:rFonts w:hint="eastAsia" w:cs="Helvetica"/>
          <w:b w:val="0"/>
          <w:bCs w:val="0"/>
          <w:color w:val="000000" w:themeColor="text1"/>
          <w14:textFill>
            <w14:solidFill>
              <w14:schemeClr w14:val="tx1"/>
            </w14:solidFill>
          </w14:textFill>
        </w:rPr>
        <w:t> </w:t>
      </w:r>
    </w:p>
    <w:p>
      <w:pPr>
        <w:pStyle w:val="6"/>
        <w:shd w:val="clear" w:color="auto" w:fill="FFFFFF"/>
        <w:spacing w:before="0" w:beforeAutospacing="0" w:after="0" w:afterAutospacing="0" w:line="420" w:lineRule="atLeast"/>
        <w:ind w:firstLine="645"/>
        <w:rPr>
          <w:rStyle w:val="10"/>
          <w:rFonts w:hint="eastAsia" w:cs="Helvetica"/>
          <w:b w:val="0"/>
          <w:bCs w:val="0"/>
          <w:color w:val="000000" w:themeColor="text1"/>
          <w14:textFill>
            <w14:solidFill>
              <w14:schemeClr w14:val="tx1"/>
            </w14:solidFill>
          </w14:textFill>
        </w:rPr>
      </w:pPr>
      <w:r>
        <w:rPr>
          <w:rStyle w:val="10"/>
          <w:rFonts w:hint="eastAsia" w:ascii="仿宋_GB2312" w:hAnsi="Helvetica" w:eastAsia="仿宋_GB2312" w:cs="Helvetica"/>
          <w:b w:val="0"/>
          <w:bCs w:val="0"/>
          <w:color w:val="000000" w:themeColor="text1"/>
          <w:sz w:val="32"/>
          <w:szCs w:val="32"/>
          <w14:textFill>
            <w14:solidFill>
              <w14:schemeClr w14:val="tx1"/>
            </w14:solidFill>
          </w14:textFill>
        </w:rPr>
        <w:t>2、由于</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各股</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室人员</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年龄老化</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加上业务知识日新月异，如不通过系统的学习，工作效率难以与时俱进。</w:t>
      </w:r>
      <w:r>
        <w:rPr>
          <w:rStyle w:val="10"/>
          <w:rFonts w:hint="eastAsia" w:ascii="仿宋_GB2312" w:hAnsi="Helvetica" w:eastAsia="仿宋_GB2312" w:cs="Helvetica"/>
          <w:b w:val="0"/>
          <w:bCs w:val="0"/>
          <w:color w:val="000000" w:themeColor="text1"/>
          <w:sz w:val="32"/>
          <w:szCs w:val="32"/>
          <w14:textFill>
            <w14:solidFill>
              <w14:schemeClr w14:val="tx1"/>
            </w14:solidFill>
          </w14:textFill>
        </w:rPr>
        <w:t>固定资产使用人交接程序存在不规范的情况，造成固定资产的登记、管理不便，资产管理需要加强。</w:t>
      </w:r>
      <w:r>
        <w:rPr>
          <w:rStyle w:val="10"/>
          <w:rFonts w:hint="eastAsia" w:cs="Helvetica"/>
          <w:b w:val="0"/>
          <w:bCs w:val="0"/>
          <w:color w:val="000000" w:themeColor="text1"/>
          <w14:textFill>
            <w14:solidFill>
              <w14:schemeClr w14:val="tx1"/>
            </w14:solidFill>
          </w14:textFill>
        </w:rPr>
        <w:t> </w:t>
      </w:r>
    </w:p>
    <w:p>
      <w:pPr>
        <w:pStyle w:val="6"/>
        <w:shd w:val="clear" w:color="auto" w:fill="FFFFFF"/>
        <w:spacing w:before="0" w:beforeAutospacing="0" w:after="0" w:afterAutospacing="0" w:line="420" w:lineRule="atLeast"/>
        <w:ind w:firstLine="645"/>
        <w:rPr>
          <w:rStyle w:val="10"/>
          <w:rFonts w:hint="default" w:ascii="仿宋_GB2312" w:hAnsi="Helvetica" w:eastAsia="仿宋_GB2312" w:cs="Helvetica"/>
          <w:b w:val="0"/>
          <w:bCs w:val="0"/>
          <w:color w:val="000000" w:themeColor="text1"/>
          <w:sz w:val="32"/>
          <w:szCs w:val="32"/>
          <w:lang w:val="en-US" w:eastAsia="zh-CN"/>
          <w14:textFill>
            <w14:solidFill>
              <w14:schemeClr w14:val="tx1"/>
            </w14:solidFill>
          </w14:textFill>
        </w:rPr>
      </w:pPr>
      <w:r>
        <w:rPr>
          <w:rStyle w:val="10"/>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3、</w:t>
      </w:r>
      <w:r>
        <w:rPr>
          <w:rStyle w:val="10"/>
          <w:rFonts w:hint="eastAsia" w:ascii="仿宋_GB2312" w:hAnsi="Helvetica" w:eastAsia="仿宋_GB2312" w:cs="Helvetica"/>
          <w:b w:val="0"/>
          <w:bCs w:val="0"/>
          <w:color w:val="000000" w:themeColor="text1"/>
          <w:sz w:val="32"/>
          <w:szCs w:val="32"/>
          <w:lang w:eastAsia="zh-CN"/>
          <w14:textFill>
            <w14:solidFill>
              <w14:schemeClr w14:val="tx1"/>
            </w14:solidFill>
          </w14:textFill>
        </w:rPr>
        <w:t>基层项目管理停留在传统阶段，程序不够规范，项目管理人员素质有待加强。</w:t>
      </w: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both"/>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p>
    <w:p>
      <w:pPr>
        <w:pStyle w:val="13"/>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pPr>
        <w:jc w:val="center"/>
        <w:rPr>
          <w:rFonts w:hint="eastAsia" w:ascii="方正小标宋_GBK" w:hAnsi="方正小标宋_GBK" w:eastAsia="方正小标宋_GBK" w:cs="方正小标宋_GBK"/>
          <w:color w:val="000000"/>
          <w:kern w:val="0"/>
          <w:sz w:val="70"/>
          <w:szCs w:val="70"/>
        </w:rPr>
      </w:pPr>
    </w:p>
    <w:p>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pPr>
        <w:ind w:firstLine="640" w:firstLineChars="200"/>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lang w:val="en-US" w:eastAsia="zh-CN"/>
        </w:rPr>
        <w:t>一</w:t>
      </w:r>
      <w:r>
        <w:rPr>
          <w:rFonts w:hint="eastAsia" w:ascii="仿宋" w:hAnsi="仿宋" w:eastAsia="仿宋" w:cs="宋体"/>
          <w:color w:val="000000"/>
          <w:kern w:val="0"/>
          <w:sz w:val="32"/>
          <w:szCs w:val="32"/>
        </w:rPr>
        <w:t>、机关运行经费：是指各部门的公用经费，包括办公及印刷费、邮电费、差旅费、会议费、福利费、日常维修费、专用资料及一般设备购置费、办公用房水电费、办公用房取暖费、办公用房物业管理费、公务用车运行维护费以及其他费用。 </w:t>
      </w:r>
    </w:p>
    <w:p>
      <w:pPr>
        <w:rPr>
          <w:rFonts w:hint="eastAsia" w:ascii="仿宋" w:hAnsi="仿宋" w:eastAsia="仿宋" w:cs="宋体"/>
          <w:color w:val="000000"/>
          <w:kern w:val="0"/>
          <w:sz w:val="32"/>
          <w:szCs w:val="32"/>
        </w:rPr>
      </w:pPr>
      <w:r>
        <w:rPr>
          <w:rFonts w:hint="eastAsia" w:ascii="仿宋" w:hAnsi="仿宋" w:eastAsia="仿宋" w:cs="宋体"/>
          <w:color w:val="000000"/>
          <w:kern w:val="0"/>
          <w:sz w:val="32"/>
          <w:szCs w:val="32"/>
        </w:rPr>
        <w:t>　　</w:t>
      </w:r>
      <w:r>
        <w:rPr>
          <w:rFonts w:hint="eastAsia" w:ascii="仿宋" w:hAnsi="仿宋" w:eastAsia="仿宋" w:cs="宋体"/>
          <w:color w:val="000000"/>
          <w:kern w:val="0"/>
          <w:sz w:val="32"/>
          <w:szCs w:val="32"/>
          <w:lang w:val="en-US" w:eastAsia="zh-CN"/>
        </w:rPr>
        <w:t>二</w:t>
      </w:r>
      <w:r>
        <w:rPr>
          <w:rFonts w:hint="eastAsia" w:ascii="仿宋" w:hAnsi="仿宋" w:eastAsia="仿宋" w:cs="宋体"/>
          <w:color w:val="000000"/>
          <w:kern w:val="0"/>
          <w:sz w:val="32"/>
          <w:szCs w:val="32"/>
        </w:rPr>
        <w:t>、“三公”经费：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等支出。 </w:t>
      </w:r>
    </w:p>
    <w:p>
      <w:pPr>
        <w:pStyle w:val="13"/>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楷体" w:hAnsi="楷体" w:eastAsia="楷体" w:cs="楷体"/>
          <w:b/>
          <w:bCs/>
          <w:i/>
          <w:color w:val="auto"/>
          <w:kern w:val="0"/>
          <w:sz w:val="32"/>
          <w:szCs w:val="32"/>
          <w:lang w:val="en-US" w:eastAsia="zh-CN" w:bidi="ar-SA"/>
        </w:rPr>
        <w:t>（名词解释应包含本部门专有名词，如省财政厅应有对“财政事务”科目的解释，可参考中央相关部门的名词解释）</w:t>
      </w: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pStyle w:val="13"/>
        <w:jc w:val="center"/>
        <w:rPr>
          <w:sz w:val="72"/>
          <w:szCs w:val="72"/>
        </w:rPr>
      </w:pPr>
    </w:p>
    <w:p>
      <w:pPr>
        <w:jc w:val="left"/>
        <w:rPr>
          <w:rFonts w:cs="黑体" w:asciiTheme="minorEastAsia" w:hAnsiTheme="minorEastAsia"/>
          <w:color w:val="000000"/>
          <w:kern w:val="0"/>
          <w:sz w:val="32"/>
          <w:szCs w:val="32"/>
        </w:rPr>
      </w:pPr>
    </w:p>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Helvetica">
    <w:panose1 w:val="020B0504020202030204"/>
    <w:charset w:val="00"/>
    <w:family w:val="swiss"/>
    <w:pitch w:val="default"/>
    <w:sig w:usb0="00000007" w:usb1="00000000" w:usb2="00000000" w:usb3="00000000" w:csb0="00000093"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VkNzBhMDQyZDllNDE1YzBiMTk2NDdmNTUzZGRiNTU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F74360"/>
    <w:rsid w:val="00FB462F"/>
    <w:rsid w:val="00FE16FA"/>
    <w:rsid w:val="00FE328A"/>
    <w:rsid w:val="00FE6269"/>
    <w:rsid w:val="00FF5CD6"/>
    <w:rsid w:val="01EB25B9"/>
    <w:rsid w:val="19DA4C79"/>
    <w:rsid w:val="1F017A2F"/>
    <w:rsid w:val="23B06662"/>
    <w:rsid w:val="27714521"/>
    <w:rsid w:val="2B15277F"/>
    <w:rsid w:val="48644726"/>
    <w:rsid w:val="4AD94843"/>
    <w:rsid w:val="5777D4F5"/>
    <w:rsid w:val="5A5A0E47"/>
    <w:rsid w:val="5E736A75"/>
    <w:rsid w:val="5FC6BB1E"/>
    <w:rsid w:val="5FF720F1"/>
    <w:rsid w:val="60294FAA"/>
    <w:rsid w:val="72C31D1D"/>
    <w:rsid w:val="737D59BA"/>
    <w:rsid w:val="77C37683"/>
    <w:rsid w:val="79FF515B"/>
    <w:rsid w:val="7E9F11B4"/>
    <w:rsid w:val="7FC69637"/>
    <w:rsid w:val="7FFDB408"/>
    <w:rsid w:val="CBFF70E0"/>
    <w:rsid w:val="EEABED75"/>
    <w:rsid w:val="FB36E1A6"/>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spacing w:after="120"/>
      <w:ind w:left="420" w:leftChars="200"/>
    </w:pPr>
    <w:rPr>
      <w:rFonts w:ascii="Calibri" w:hAnsi="Calibri" w:eastAsia="宋体"/>
      <w:szCs w:val="24"/>
      <w:u w:val="none"/>
    </w:rPr>
  </w:style>
  <w:style w:type="paragraph" w:styleId="3">
    <w:name w:val="Balloon Text"/>
    <w:basedOn w:val="1"/>
    <w:link w:val="15"/>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Body Text First Indent 2"/>
    <w:basedOn w:val="2"/>
    <w:next w:val="1"/>
    <w:unhideWhenUsed/>
    <w:qFormat/>
    <w:uiPriority w:val="99"/>
    <w:pPr>
      <w:ind w:firstLine="420" w:firstLineChars="200"/>
    </w:pPr>
  </w:style>
  <w:style w:type="character" w:styleId="10">
    <w:name w:val="Strong"/>
    <w:basedOn w:val="9"/>
    <w:qFormat/>
    <w:uiPriority w:val="22"/>
    <w:rPr>
      <w:b/>
      <w:bCs/>
    </w:rPr>
  </w:style>
  <w:style w:type="character" w:customStyle="1" w:styleId="11">
    <w:name w:val="页眉 Char"/>
    <w:basedOn w:val="9"/>
    <w:link w:val="5"/>
    <w:qFormat/>
    <w:uiPriority w:val="99"/>
    <w:rPr>
      <w:sz w:val="18"/>
      <w:szCs w:val="18"/>
    </w:rPr>
  </w:style>
  <w:style w:type="character" w:customStyle="1" w:styleId="12">
    <w:name w:val="页脚 Char"/>
    <w:basedOn w:val="9"/>
    <w:link w:val="4"/>
    <w:qFormat/>
    <w:uiPriority w:val="99"/>
    <w:rPr>
      <w:sz w:val="18"/>
      <w:szCs w:val="18"/>
    </w:rPr>
  </w:style>
  <w:style w:type="paragraph" w:customStyle="1" w:styleId="13">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4">
    <w:name w:val="List Paragraph"/>
    <w:basedOn w:val="1"/>
    <w:qFormat/>
    <w:uiPriority w:val="34"/>
    <w:pPr>
      <w:ind w:firstLine="420" w:firstLineChars="200"/>
    </w:pPr>
  </w:style>
  <w:style w:type="character" w:customStyle="1" w:styleId="15">
    <w:name w:val="批注框文本 Char"/>
    <w:basedOn w:val="9"/>
    <w:link w:val="3"/>
    <w:semiHidden/>
    <w:qFormat/>
    <w:uiPriority w:val="99"/>
    <w:rPr>
      <w:sz w:val="18"/>
      <w:szCs w:val="18"/>
    </w:rPr>
  </w:style>
  <w:style w:type="character" w:customStyle="1" w:styleId="16">
    <w:name w:val="font01"/>
    <w:basedOn w:val="9"/>
    <w:qFormat/>
    <w:uiPriority w:val="0"/>
    <w:rPr>
      <w:rFonts w:hint="eastAsia" w:ascii="宋体" w:hAnsi="宋体" w:eastAsia="宋体" w:cs="宋体"/>
      <w:color w:val="000000"/>
      <w:sz w:val="22"/>
      <w:szCs w:val="22"/>
      <w:u w:val="none"/>
    </w:rPr>
  </w:style>
  <w:style w:type="character" w:customStyle="1" w:styleId="17">
    <w:name w:val="font21"/>
    <w:basedOn w:val="9"/>
    <w:qFormat/>
    <w:uiPriority w:val="0"/>
    <w:rPr>
      <w:rFonts w:hint="eastAsia" w:ascii="宋体" w:hAnsi="宋体" w:eastAsia="宋体" w:cs="宋体"/>
      <w:color w:val="000000"/>
      <w:sz w:val="24"/>
      <w:szCs w:val="24"/>
      <w:u w:val="none"/>
    </w:rPr>
  </w:style>
  <w:style w:type="character" w:customStyle="1" w:styleId="18">
    <w:name w:val="font1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24</Pages>
  <Words>1347</Words>
  <Characters>7679</Characters>
  <Lines>63</Lines>
  <Paragraphs>18</Paragraphs>
  <TotalTime>0</TotalTime>
  <ScaleCrop>false</ScaleCrop>
  <LinksUpToDate>false</LinksUpToDate>
  <CharactersWithSpaces>9008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2020-07-04T18:32:00Z</dcterms:created>
  <dc:creator>李航 null</dc:creator>
  <cp:lastModifiedBy>毛里斯的姐姐</cp:lastModifiedBy>
  <cp:lastPrinted>2023-08-15T09:28:00Z</cp:lastPrinted>
  <dcterms:modified xsi:type="dcterms:W3CDTF">2023-11-22T07:14:53Z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712B176F203C41D4ABA0680C911CA836_12</vt:lpwstr>
  </property>
</Properties>
</file>