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hint="eastAsia" w:ascii="方正小标宋_GBK" w:hAnsi="方正小标宋_GBK" w:eastAsia="方正小标宋_GBK" w:cs="方正小标宋_GBK"/>
          <w:sz w:val="72"/>
          <w:szCs w:val="72"/>
        </w:rPr>
      </w:pPr>
      <w:r>
        <w:rPr>
          <w:rFonts w:hint="eastAsia" w:ascii="方正小标宋_GBK" w:hAnsi="方正小标宋_GBK" w:eastAsia="方正小标宋_GBK" w:cs="方正小标宋_GBK"/>
          <w:sz w:val="72"/>
          <w:szCs w:val="72"/>
        </w:rPr>
        <w:t>第三部分</w:t>
      </w:r>
    </w:p>
    <w:p>
      <w:pPr>
        <w:pStyle w:val="4"/>
        <w:jc w:val="center"/>
        <w:rPr>
          <w:rFonts w:hint="eastAsia" w:ascii="方正小标宋_GBK" w:hAnsi="方正小标宋_GBK" w:eastAsia="方正小标宋_GBK" w:cs="方正小标宋_GBK"/>
          <w:sz w:val="70"/>
          <w:szCs w:val="70"/>
        </w:rPr>
      </w:pPr>
    </w:p>
    <w:p>
      <w:pPr>
        <w:pStyle w:val="4"/>
        <w:jc w:val="center"/>
        <w:rPr>
          <w:rFonts w:hint="eastAsia" w:ascii="方正小标宋_GBK" w:hAnsi="方正小标宋_GBK" w:eastAsia="方正小标宋_GBK" w:cs="方正小标宋_GBK"/>
          <w:sz w:val="70"/>
          <w:szCs w:val="70"/>
        </w:rPr>
      </w:pPr>
      <w:r>
        <w:rPr>
          <w:rFonts w:hint="eastAsia" w:ascii="方正小标宋_GBK" w:hAnsi="方正小标宋_GBK" w:eastAsia="方正小标宋_GBK" w:cs="方正小标宋_GBK"/>
          <w:sz w:val="70"/>
          <w:szCs w:val="70"/>
        </w:rPr>
        <w:t>202</w:t>
      </w:r>
      <w:r>
        <w:rPr>
          <w:rFonts w:hint="eastAsia" w:ascii="方正小标宋_GBK" w:hAnsi="方正小标宋_GBK" w:eastAsia="方正小标宋_GBK" w:cs="方正小标宋_GBK"/>
          <w:sz w:val="70"/>
          <w:szCs w:val="70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70"/>
          <w:szCs w:val="70"/>
        </w:rPr>
        <w:t>年度部门决算情况说明</w:t>
      </w:r>
    </w:p>
    <w:p>
      <w:pPr>
        <w:widowControl/>
        <w:jc w:val="left"/>
        <w:rPr>
          <w:rFonts w:asciiTheme="minorEastAsia" w:hAnsiTheme="minorEastAsia" w:eastAsiaTheme="minorEastAsia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70"/>
          <w:szCs w:val="70"/>
        </w:rPr>
        <w:br w:type="page"/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一、收入支出决算总体情况说明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年度收、支总计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267.52</w:t>
      </w:r>
      <w:r>
        <w:rPr>
          <w:rFonts w:hint="eastAsia" w:ascii="Times New Roman" w:hAnsi="Times New Roman" w:eastAsia="仿宋_GB2312"/>
          <w:sz w:val="32"/>
          <w:szCs w:val="32"/>
        </w:rPr>
        <w:t>万元。与上年相比，增加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万元，增长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年度基础性绩效奖金按新规定发放到每月。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二、收入决算情况说明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年度收入合计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万元，其中：财政拨款收入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%；上级补助收入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万元；事业收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万元；经营收入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万元；其他收入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三、支出决算情况说明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年度支出合计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万元，其中：基本支出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103.76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77</w:t>
      </w:r>
      <w:r>
        <w:rPr>
          <w:rFonts w:hint="eastAsia" w:ascii="Times New Roman" w:hAnsi="Times New Roman" w:eastAsia="仿宋_GB2312"/>
          <w:sz w:val="32"/>
          <w:szCs w:val="32"/>
        </w:rPr>
        <w:t>%；项目支出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%；上缴上级支出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万元；经营支出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四、财政拨款收入支出决算总体情况说明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年度财政拨款收、支总计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267.52</w:t>
      </w:r>
      <w:r>
        <w:rPr>
          <w:rFonts w:hint="eastAsia" w:ascii="Times New Roman" w:hAnsi="Times New Roman" w:eastAsia="仿宋_GB2312"/>
          <w:sz w:val="32"/>
          <w:szCs w:val="32"/>
        </w:rPr>
        <w:t>万元，与上年相比，增加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/>
          <w:sz w:val="32"/>
          <w:szCs w:val="32"/>
        </w:rPr>
        <w:t>万元,增长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年度基础性绩效奖金按新规定发放到每月。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五、一般公共预算财政拨款支出决算情况说明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（一）财政拨款支出决算总体情况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万元，占本年支出合计的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%，与上年相比，财政拨款支出增加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/>
          <w:sz w:val="32"/>
          <w:szCs w:val="32"/>
        </w:rPr>
        <w:t>万元，增长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sz w:val="32"/>
          <w:szCs w:val="32"/>
        </w:rPr>
        <w:t>%，主要是因为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年度基础性绩效奖金按新规定发放到每月。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480" w:firstLineChars="15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（二）财政拨款支出决算结构情况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万元，主要用于以下方面：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社会保障和就业（类）</w:t>
      </w:r>
      <w:r>
        <w:rPr>
          <w:rFonts w:hint="eastAsia" w:ascii="Times New Roman" w:hAnsi="Times New Roman" w:eastAsia="仿宋_GB2312"/>
          <w:sz w:val="32"/>
          <w:szCs w:val="32"/>
        </w:rPr>
        <w:t>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126.93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95</w:t>
      </w:r>
      <w:r>
        <w:rPr>
          <w:rFonts w:hint="eastAsia" w:ascii="Times New Roman" w:hAnsi="Times New Roman" w:eastAsia="仿宋_GB2312"/>
          <w:sz w:val="32"/>
          <w:szCs w:val="32"/>
        </w:rPr>
        <w:t>%；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住房保障</w:t>
      </w:r>
      <w:r>
        <w:rPr>
          <w:rFonts w:hint="eastAsia" w:ascii="Times New Roman" w:hAnsi="Times New Roman" w:eastAsia="仿宋_GB2312"/>
          <w:sz w:val="32"/>
          <w:szCs w:val="32"/>
        </w:rPr>
        <w:t>（类）支出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6.83</w:t>
      </w:r>
      <w:r>
        <w:rPr>
          <w:rFonts w:hint="eastAsia" w:ascii="Times New Roman" w:hAnsi="Times New Roman" w:eastAsia="仿宋_GB2312"/>
          <w:sz w:val="32"/>
          <w:szCs w:val="32"/>
        </w:rPr>
        <w:t>万元，占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%;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楷体" w:hAnsi="楷体" w:eastAsia="楷体" w:cs="楷体"/>
          <w:b w:val="0"/>
          <w:bCs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（三）财政拨款支出决算具体情况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年度财政拨款支出年初预算数为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116.76</w:t>
      </w:r>
      <w:r>
        <w:rPr>
          <w:rFonts w:hint="eastAsia" w:ascii="Times New Roman" w:hAnsi="Times New Roman" w:eastAsia="仿宋_GB2312"/>
          <w:sz w:val="32"/>
          <w:szCs w:val="32"/>
        </w:rPr>
        <w:t>万元，支出决算数为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133.76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115</w:t>
      </w:r>
      <w:r>
        <w:rPr>
          <w:rFonts w:hint="eastAsia" w:ascii="Times New Roman" w:hAnsi="Times New Roman" w:eastAsia="仿宋_GB2312"/>
          <w:sz w:val="32"/>
          <w:szCs w:val="32"/>
        </w:rPr>
        <w:t>%，其中：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社会保障和就业</w:t>
      </w:r>
      <w:r>
        <w:rPr>
          <w:rFonts w:hint="eastAsia" w:ascii="Times New Roman" w:hAnsi="Times New Roman" w:eastAsia="仿宋_GB2312"/>
          <w:sz w:val="32"/>
          <w:szCs w:val="32"/>
        </w:rPr>
        <w:t>（类）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基本支出</w:t>
      </w:r>
      <w:r>
        <w:rPr>
          <w:rFonts w:hint="eastAsia" w:ascii="Times New Roman" w:hAnsi="Times New Roman" w:eastAsia="仿宋_GB2312"/>
          <w:sz w:val="32"/>
          <w:szCs w:val="32"/>
        </w:rPr>
        <w:t>（项）。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年初预算为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101.76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118.83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117</w:t>
      </w:r>
      <w:r>
        <w:rPr>
          <w:rFonts w:hint="eastAsia" w:ascii="Times New Roman" w:hAnsi="Times New Roman" w:eastAsia="仿宋_GB2312"/>
          <w:sz w:val="32"/>
          <w:szCs w:val="32"/>
        </w:rPr>
        <w:t>%，决算数大于年初预算数的主要原因是：主要是因为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年度基础性绩效奖金按新规定发放到每月。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住房保障支出</w:t>
      </w:r>
      <w:r>
        <w:rPr>
          <w:rFonts w:hint="eastAsia" w:ascii="Times New Roman" w:hAnsi="Times New Roman" w:eastAsia="仿宋_GB2312"/>
          <w:sz w:val="32"/>
          <w:szCs w:val="32"/>
        </w:rPr>
        <w:t>（类）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公积金</w:t>
      </w:r>
      <w:r>
        <w:rPr>
          <w:rFonts w:hint="eastAsia" w:ascii="Times New Roman" w:hAnsi="Times New Roman" w:eastAsia="仿宋_GB2312"/>
          <w:sz w:val="32"/>
          <w:szCs w:val="32"/>
        </w:rPr>
        <w:t>（款）。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年初预算为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6.83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6.83</w:t>
      </w:r>
      <w:r>
        <w:rPr>
          <w:rFonts w:hint="eastAsia" w:ascii="Times New Roman" w:hAnsi="Times New Roman" w:eastAsia="仿宋_GB2312"/>
          <w:sz w:val="32"/>
          <w:szCs w:val="32"/>
        </w:rPr>
        <w:t>万元，完成年初预算的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100</w:t>
      </w:r>
      <w:r>
        <w:rPr>
          <w:rFonts w:hint="eastAsia" w:ascii="Times New Roman" w:hAnsi="Times New Roman" w:eastAsia="仿宋_GB2312"/>
          <w:sz w:val="32"/>
          <w:szCs w:val="32"/>
        </w:rPr>
        <w:t>%，决算数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与</w:t>
      </w:r>
      <w:r>
        <w:rPr>
          <w:rFonts w:hint="eastAsia" w:ascii="Times New Roman" w:hAnsi="Times New Roman" w:eastAsia="仿宋_GB2312"/>
          <w:sz w:val="32"/>
          <w:szCs w:val="32"/>
        </w:rPr>
        <w:t>年初预算数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相等。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960" w:firstLineChars="3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六、一般公共预算财政拨款基本支出决算情况说明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年度财政拨款基本支出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118.83</w:t>
      </w:r>
      <w:r>
        <w:rPr>
          <w:rFonts w:hint="eastAsia" w:ascii="Times New Roman" w:hAnsi="Times New Roman" w:eastAsia="仿宋_GB2312"/>
          <w:sz w:val="32"/>
          <w:szCs w:val="32"/>
        </w:rPr>
        <w:t>万元，其中：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人员经费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106.96</w:t>
      </w:r>
      <w:r>
        <w:rPr>
          <w:rFonts w:hint="eastAsia" w:ascii="Times New Roman" w:hAnsi="Times New Roman" w:eastAsia="仿宋_GB2312"/>
          <w:sz w:val="32"/>
          <w:szCs w:val="32"/>
        </w:rPr>
        <w:t>万元，占基本支出的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仿宋_GB2312"/>
          <w:sz w:val="32"/>
          <w:szCs w:val="32"/>
        </w:rPr>
        <w:t>%,主要包括基本工资、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绩效工资、社会保险费等。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公用经费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11.87</w:t>
      </w:r>
      <w:r>
        <w:rPr>
          <w:rFonts w:hint="eastAsia" w:ascii="Times New Roman" w:hAnsi="Times New Roman" w:eastAsia="仿宋_GB2312"/>
          <w:sz w:val="32"/>
          <w:szCs w:val="32"/>
        </w:rPr>
        <w:t>万元，占基本支出的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%，主要包括办公费、印刷费、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维护费等。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七、财政拨款三公经费支出决算情况说明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（一）“三公”经费财政拨款支出决算总体情况说明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“三公”经费财政拨款支出预算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万元，其中：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因公出国（境）费支出预算为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800" w:firstLineChars="25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公务接待费支出预算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公务用车购置费支出预算为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公务用车运行维护费支出预算为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万元，支出决算为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hint="eastAsia" w:ascii="楷体" w:hAnsi="楷体" w:eastAsia="楷体" w:cs="楷体"/>
          <w:b/>
          <w:bCs w:val="0"/>
          <w:sz w:val="32"/>
          <w:szCs w:val="32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</w:rPr>
        <w:t>（二）“三公”经费财政拨款支出决算具体情况说明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年度“三公”经费财政拨款支出决算中，公务接待费支出决算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万元，因公出国（境）费支出决算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万元，公务用车购置费及运行维护费支出决算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楷体" w:hAnsi="楷体" w:eastAsia="楷体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八、政府性基金预算收入支出决算情况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2022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年度本单位无政府性基金收支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。其中</w:t>
      </w:r>
      <w:r>
        <w:rPr>
          <w:rFonts w:hint="eastAsia" w:ascii="Times New Roman" w:hAnsi="Times New Roman" w:eastAsia="仿宋_GB2312"/>
          <w:sz w:val="32"/>
          <w:szCs w:val="32"/>
        </w:rPr>
        <w:t>政府性基金预算财政拨款收入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万元；年初结转和结余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万元，其中基本支出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万元，项目支出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万元；年末结转和结余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textAlignment w:val="auto"/>
        <w:rPr>
          <w:rFonts w:ascii="Times New Roman" w:hAnsi="Times New Roman" w:eastAsia="仿宋_GB2312"/>
          <w:b/>
          <w:sz w:val="32"/>
          <w:szCs w:val="32"/>
        </w:rPr>
      </w:pPr>
      <w:r>
        <w:rPr>
          <w:rFonts w:hint="eastAsia" w:ascii="Times New Roman" w:hAnsi="Times New Roman" w:eastAsia="仿宋_GB2312"/>
          <w:b/>
          <w:sz w:val="32"/>
          <w:szCs w:val="32"/>
        </w:rPr>
        <w:t>九、关于机关运行经费支出说明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本部门202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年度机关运行经费支出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，跟年初预算数一致。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十、一般性支出情况说明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仿宋_GB2312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年本部门开支会议费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十一、关于政府采购支出说明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楷体" w:hAnsi="楷体" w:eastAsia="仿宋_GB2312" w:cs="楷体"/>
          <w:b/>
          <w:bCs/>
          <w:i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/>
          <w:sz w:val="32"/>
          <w:szCs w:val="32"/>
        </w:rPr>
        <w:t>本部门202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年度政府采购支出总额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万元，其中：政府采购货物支出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万元、政府采购工程支出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万元、政府采购服务支出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万元。授予中小企业合同金额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万元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十二、关于国有资产占用情况说明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截至202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</w:rPr>
        <w:t>年12月31日，本单位共有车辆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单位价值50万元以上通用设备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台（套）；单位价值100万元以上专用设备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0</w:t>
      </w:r>
      <w:r>
        <w:rPr>
          <w:rFonts w:hint="eastAsia" w:ascii="Times New Roman" w:hAnsi="Times New Roman" w:eastAsia="仿宋_GB2312"/>
          <w:sz w:val="32"/>
          <w:szCs w:val="32"/>
        </w:rPr>
        <w:t>台（套）。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十三、关于</w:t>
      </w:r>
      <w:r>
        <w:rPr>
          <w:rFonts w:hint="eastAsia" w:ascii="Times New Roman" w:hAnsi="Times New Roman" w:eastAsia="仿宋_GB2312"/>
          <w:sz w:val="32"/>
          <w:szCs w:val="32"/>
        </w:rPr>
        <w:t>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年度预算绩效情况的说明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643" w:firstLineChars="2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部门整体支出绩效情况</w:t>
      </w:r>
    </w:p>
    <w:p>
      <w:pPr>
        <w:ind w:firstLine="960" w:firstLineChars="3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从整体情况来看，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本中心</w:t>
      </w:r>
      <w:r>
        <w:rPr>
          <w:rFonts w:ascii="仿宋" w:hAnsi="仿宋" w:eastAsia="仿宋" w:cs="仿宋_GB2312"/>
          <w:sz w:val="32"/>
          <w:szCs w:val="32"/>
        </w:rPr>
        <w:t>严格落实《预算法》及省、市绩效管理工作的有关规定，进一步规范财政资金的管理，强化财政支出绩效理念，提升部门责任意识，提高资金使用效益，促进</w:t>
      </w:r>
      <w:r>
        <w:rPr>
          <w:rFonts w:hint="eastAsia" w:ascii="仿宋" w:hAnsi="仿宋" w:eastAsia="仿宋" w:cs="仿宋_GB2312"/>
          <w:sz w:val="32"/>
          <w:szCs w:val="32"/>
        </w:rPr>
        <w:t>工伤保险工作的发展</w:t>
      </w:r>
      <w:r>
        <w:rPr>
          <w:rFonts w:ascii="仿宋" w:hAnsi="仿宋" w:eastAsia="仿宋" w:cs="仿宋_GB2312"/>
          <w:sz w:val="32"/>
          <w:szCs w:val="32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按照年初预算进行部门整体支出。在支出过程中，能严格遵守各项规章制度，所有项目都详细制定了方案，严格按方案组织实施，并加强了监督。实行了先有预算、后有执行、“用钱必问效、无效必问责”的新常态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321" w:firstLineChars="100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存在的问题及原因分析</w:t>
      </w:r>
    </w:p>
    <w:p>
      <w:pPr>
        <w:spacing w:line="560" w:lineRule="exact"/>
        <w:ind w:firstLine="665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1、预算执行存在偏差。由于年初预算编制为估计，导致各项经费实际支出数与预算编制数存在差异。</w:t>
      </w:r>
    </w:p>
    <w:p>
      <w:pPr>
        <w:spacing w:line="560" w:lineRule="exact"/>
        <w:ind w:firstLine="665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2、由于人员编制原因，我所人员不足，对于固定资产的管理监管有待加强，制度有待完善。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jc w:val="left"/>
        <w:textAlignment w:val="auto"/>
        <w:rPr>
          <w:sz w:val="72"/>
          <w:szCs w:val="72"/>
        </w:rPr>
      </w:pPr>
      <w:bookmarkStart w:id="0" w:name="_GoBack"/>
      <w:bookmarkEnd w:id="0"/>
    </w:p>
    <w:p>
      <w:pPr>
        <w:pStyle w:val="4"/>
        <w:jc w:val="center"/>
        <w:rPr>
          <w:sz w:val="72"/>
          <w:szCs w:val="7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ZTQxYmI1ODFhMzMxOTA0MzdmYjA1MGFlMTQ2OTAifQ=="/>
  </w:docVars>
  <w:rsids>
    <w:rsidRoot w:val="6E7100C9"/>
    <w:rsid w:val="018F32FE"/>
    <w:rsid w:val="07247A19"/>
    <w:rsid w:val="308C7AC0"/>
    <w:rsid w:val="36140CE4"/>
    <w:rsid w:val="393C59D0"/>
    <w:rsid w:val="51031906"/>
    <w:rsid w:val="6E7100C9"/>
    <w:rsid w:val="7617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1670</Words>
  <Characters>1859</Characters>
  <Lines>0</Lines>
  <Paragraphs>0</Paragraphs>
  <TotalTime>1</TotalTime>
  <ScaleCrop>false</ScaleCrop>
  <LinksUpToDate>false</LinksUpToDate>
  <CharactersWithSpaces>1868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2023-08-30T01:27:00Z</dcterms:created>
  <dc:creator>Administrator</dc:creator>
  <cp:lastModifiedBy>Administrator</cp:lastModifiedBy>
  <dcterms:modified xsi:type="dcterms:W3CDTF">2023-08-30T07:08:28Z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3D8418DD346D4803BCA1A14F94724D52_11</vt:lpwstr>
  </property>
</Properties>
</file>