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黑体"/>
          <w:kern w:val="0"/>
          <w:sz w:val="32"/>
          <w:szCs w:val="32"/>
        </w:rPr>
      </w:pPr>
      <w:r>
        <w:rPr>
          <w:rFonts w:ascii="黑体" w:hAnsi="黑体" w:eastAsia="黑体"/>
          <w:kern w:val="0"/>
          <w:sz w:val="32"/>
          <w:szCs w:val="32"/>
        </w:rPr>
        <w:t>附件</w:t>
      </w:r>
      <w:r>
        <w:rPr>
          <w:rFonts w:hint="eastAsia" w:eastAsia="黑体"/>
          <w:kern w:val="0"/>
          <w:sz w:val="32"/>
          <w:szCs w:val="32"/>
        </w:rPr>
        <w:t>5</w:t>
      </w:r>
    </w:p>
    <w:p>
      <w:pPr>
        <w:jc w:val="left"/>
        <w:rPr>
          <w:rFonts w:hint="eastAsia" w:eastAsia="黑体"/>
          <w:kern w:val="0"/>
          <w:sz w:val="32"/>
          <w:szCs w:val="32"/>
        </w:rPr>
      </w:pPr>
    </w:p>
    <w:p>
      <w:pPr>
        <w:jc w:val="center"/>
        <w:rPr>
          <w:rFonts w:hint="eastAsia" w:eastAsia="方正小标宋_GBK"/>
          <w:sz w:val="48"/>
          <w:szCs w:val="48"/>
        </w:rPr>
      </w:pPr>
      <w:r>
        <w:rPr>
          <w:rFonts w:eastAsia="方正小标宋_GBK"/>
          <w:sz w:val="48"/>
          <w:szCs w:val="48"/>
        </w:rPr>
        <w:t>2023</w:t>
      </w:r>
      <w:r>
        <w:rPr>
          <w:rFonts w:hint="eastAsia" w:ascii="宋体" w:hAnsi="宋体" w:cs="宋体"/>
          <w:sz w:val="48"/>
          <w:szCs w:val="48"/>
        </w:rPr>
        <w:t>年度</w:t>
      </w:r>
      <w:r>
        <w:rPr>
          <w:rFonts w:ascii="方正小标宋_GBK" w:hAnsi="方正小标宋_GBK"/>
          <w:sz w:val="48"/>
          <w:szCs w:val="48"/>
        </w:rPr>
        <w:t>沅江市交通运输局</w:t>
      </w:r>
      <w:r>
        <w:rPr>
          <w:rFonts w:hint="eastAsia" w:ascii="宋体" w:hAnsi="宋体" w:cs="宋体"/>
          <w:sz w:val="48"/>
          <w:szCs w:val="48"/>
        </w:rPr>
        <w:t>项目支出</w:t>
      </w:r>
    </w:p>
    <w:p>
      <w:pPr>
        <w:jc w:val="center"/>
        <w:rPr>
          <w:rFonts w:eastAsia="方正小标宋_GBK"/>
          <w:sz w:val="48"/>
          <w:szCs w:val="48"/>
        </w:rPr>
      </w:pPr>
      <w:r>
        <w:rPr>
          <w:rFonts w:hint="eastAsia" w:ascii="宋体" w:hAnsi="宋体" w:cs="宋体"/>
          <w:sz w:val="48"/>
          <w:szCs w:val="48"/>
        </w:rPr>
        <w:t>绩效自评报告</w:t>
      </w:r>
    </w:p>
    <w:p>
      <w:pPr>
        <w:jc w:val="left"/>
      </w:pPr>
      <w:r>
        <w:t> </w:t>
      </w:r>
    </w:p>
    <w:p>
      <w:pPr>
        <w:jc w:val="left"/>
      </w:pPr>
      <w:r>
        <w:t> </w:t>
      </w:r>
    </w:p>
    <w:p>
      <w:pPr>
        <w:jc w:val="left"/>
      </w:pPr>
      <w:r>
        <w:t xml:space="preserve"> </w:t>
      </w:r>
    </w:p>
    <w:p>
      <w:pPr>
        <w:jc w:val="left"/>
      </w:pPr>
      <w:r>
        <w:t xml:space="preserve"> </w:t>
      </w: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r>
        <w:rPr>
          <w:rFonts w:eastAsia="黑体"/>
          <w:sz w:val="36"/>
          <w:szCs w:val="36"/>
        </w:rPr>
        <w:t xml:space="preserve"> </w:t>
      </w:r>
    </w:p>
    <w:p>
      <w:pPr>
        <w:ind w:firstLine="720" w:firstLineChars="200"/>
        <w:rPr>
          <w:rFonts w:eastAsia="黑体"/>
          <w:sz w:val="36"/>
          <w:szCs w:val="36"/>
        </w:rPr>
      </w:pPr>
      <w:r>
        <w:rPr>
          <w:rFonts w:eastAsia="黑体"/>
          <w:sz w:val="36"/>
          <w:szCs w:val="36"/>
        </w:rPr>
        <w:t xml:space="preserve"> </w:t>
      </w:r>
    </w:p>
    <w:p>
      <w:pPr>
        <w:ind w:firstLine="720" w:firstLineChars="200"/>
        <w:jc w:val="center"/>
        <w:rPr>
          <w:rFonts w:eastAsia="黑体"/>
          <w:sz w:val="36"/>
          <w:szCs w:val="36"/>
        </w:rPr>
      </w:pPr>
      <w:r>
        <w:rPr>
          <w:rFonts w:ascii="黑体" w:hAnsi="黑体" w:eastAsia="黑体"/>
          <w:sz w:val="36"/>
          <w:szCs w:val="36"/>
        </w:rPr>
        <w:t>部门（单位）名称：</w:t>
      </w:r>
      <w:r>
        <w:rPr>
          <w:rFonts w:hint="eastAsia" w:ascii="黑体" w:hAnsi="黑体" w:eastAsia="黑体"/>
          <w:sz w:val="36"/>
          <w:szCs w:val="36"/>
          <w:u w:val="single"/>
          <w:lang w:eastAsia="zh-CN"/>
        </w:rPr>
        <w:t>沅江市交通运输局</w:t>
      </w:r>
      <w:r>
        <w:rPr>
          <w:rFonts w:eastAsia="黑体"/>
          <w:sz w:val="36"/>
          <w:szCs w:val="36"/>
        </w:rPr>
        <w:t xml:space="preserve">      </w:t>
      </w:r>
    </w:p>
    <w:p>
      <w:pPr>
        <w:ind w:firstLine="2520" w:firstLineChars="700"/>
        <w:rPr>
          <w:rFonts w:eastAsia="黑体"/>
          <w:sz w:val="36"/>
          <w:szCs w:val="36"/>
        </w:rPr>
      </w:pPr>
      <w:r>
        <w:rPr>
          <w:rFonts w:eastAsia="黑体"/>
          <w:sz w:val="36"/>
          <w:szCs w:val="36"/>
        </w:rPr>
        <w:t xml:space="preserve"> </w:t>
      </w:r>
    </w:p>
    <w:p>
      <w:pPr>
        <w:ind w:firstLine="3240" w:firstLineChars="900"/>
        <w:jc w:val="both"/>
        <w:rPr>
          <w:rFonts w:eastAsia="黑体"/>
          <w:sz w:val="36"/>
          <w:szCs w:val="36"/>
        </w:rPr>
      </w:pPr>
      <w:r>
        <w:rPr>
          <w:rFonts w:hint="eastAsia" w:eastAsia="黑体"/>
          <w:sz w:val="36"/>
          <w:szCs w:val="36"/>
        </w:rPr>
        <w:t>2024</w:t>
      </w:r>
      <w:r>
        <w:rPr>
          <w:rFonts w:ascii="黑体" w:hAnsi="黑体" w:eastAsia="黑体"/>
          <w:sz w:val="36"/>
          <w:szCs w:val="36"/>
        </w:rPr>
        <w:t>年</w:t>
      </w:r>
      <w:r>
        <w:rPr>
          <w:rFonts w:hint="eastAsia" w:eastAsia="黑体"/>
          <w:sz w:val="36"/>
          <w:szCs w:val="36"/>
        </w:rPr>
        <w:t>5</w:t>
      </w:r>
      <w:r>
        <w:rPr>
          <w:rFonts w:ascii="黑体" w:hAnsi="黑体" w:eastAsia="黑体"/>
          <w:sz w:val="36"/>
          <w:szCs w:val="36"/>
        </w:rPr>
        <w:t>月</w:t>
      </w:r>
      <w:r>
        <w:rPr>
          <w:rFonts w:hint="eastAsia" w:eastAsia="黑体"/>
          <w:sz w:val="36"/>
          <w:szCs w:val="36"/>
        </w:rPr>
        <w:t>10</w:t>
      </w:r>
      <w:r>
        <w:rPr>
          <w:rFonts w:ascii="黑体" w:hAnsi="黑体" w:eastAsia="黑体"/>
          <w:sz w:val="36"/>
          <w:szCs w:val="36"/>
        </w:rPr>
        <w:t>日</w:t>
      </w:r>
    </w:p>
    <w:p>
      <w:pPr>
        <w:ind w:firstLine="720" w:firstLineChars="200"/>
        <w:rPr>
          <w:rFonts w:eastAsia="黑体"/>
          <w:sz w:val="36"/>
          <w:szCs w:val="36"/>
        </w:rPr>
      </w:pPr>
      <w:r>
        <w:rPr>
          <w:rFonts w:eastAsia="黑体"/>
          <w:sz w:val="36"/>
          <w:szCs w:val="36"/>
        </w:rPr>
        <w:t xml:space="preserve"> </w:t>
      </w:r>
    </w:p>
    <w:p>
      <w:pPr>
        <w:jc w:val="center"/>
        <w:rPr>
          <w:rFonts w:eastAsia="仿宋_GB2312"/>
          <w:sz w:val="32"/>
          <w:szCs w:val="32"/>
        </w:rPr>
      </w:pPr>
      <w:r>
        <w:rPr>
          <w:rFonts w:eastAsia="仿宋_GB2312"/>
          <w:sz w:val="32"/>
          <w:szCs w:val="32"/>
        </w:rPr>
        <w:t xml:space="preserve"> </w:t>
      </w:r>
    </w:p>
    <w:p>
      <w:pPr>
        <w:jc w:val="center"/>
        <w:rPr>
          <w:rFonts w:eastAsia="黑体"/>
          <w:sz w:val="44"/>
          <w:szCs w:val="44"/>
        </w:rPr>
      </w:pPr>
      <w:r>
        <w:rPr>
          <w:rFonts w:eastAsia="仿宋_GB2312"/>
          <w:sz w:val="32"/>
          <w:szCs w:val="32"/>
        </w:rPr>
        <w:t xml:space="preserve"> </w:t>
      </w:r>
      <w:r>
        <w:rPr>
          <w:rFonts w:eastAsia="黑体"/>
          <w:sz w:val="44"/>
          <w:szCs w:val="44"/>
        </w:rPr>
        <w:t xml:space="preserve"> </w:t>
      </w:r>
    </w:p>
    <w:p>
      <w:pPr>
        <w:spacing w:line="560" w:lineRule="exact"/>
        <w:jc w:val="center"/>
        <w:rPr>
          <w:rFonts w:ascii="黑体" w:hAnsi="黑体" w:eastAsia="黑体"/>
          <w:sz w:val="48"/>
          <w:szCs w:val="48"/>
        </w:rPr>
      </w:pPr>
      <w:r>
        <w:rPr>
          <w:rFonts w:ascii="黑体" w:hAnsi="黑体" w:eastAsia="黑体"/>
          <w:sz w:val="48"/>
          <w:szCs w:val="48"/>
        </w:rPr>
        <w:t>2023</w:t>
      </w:r>
      <w:r>
        <w:rPr>
          <w:rFonts w:hint="eastAsia" w:ascii="黑体" w:hAnsi="黑体" w:eastAsia="黑体"/>
          <w:sz w:val="48"/>
          <w:szCs w:val="48"/>
        </w:rPr>
        <w:t>年</w:t>
      </w:r>
      <w:r>
        <w:rPr>
          <w:rFonts w:ascii="黑体" w:hAnsi="黑体" w:eastAsia="黑体"/>
          <w:sz w:val="48"/>
          <w:szCs w:val="48"/>
        </w:rPr>
        <w:t>度沅江市交通运输局</w:t>
      </w:r>
    </w:p>
    <w:p>
      <w:pPr>
        <w:spacing w:line="560" w:lineRule="exact"/>
        <w:jc w:val="center"/>
        <w:rPr>
          <w:rFonts w:ascii="黑体" w:hAnsi="黑体" w:eastAsia="黑体"/>
          <w:sz w:val="48"/>
          <w:szCs w:val="48"/>
        </w:rPr>
      </w:pPr>
      <w:r>
        <w:rPr>
          <w:rFonts w:ascii="黑体" w:hAnsi="黑体" w:eastAsia="黑体"/>
          <w:sz w:val="48"/>
          <w:szCs w:val="48"/>
        </w:rPr>
        <w:t>项目支出绩效评价报告</w:t>
      </w:r>
    </w:p>
    <w:p>
      <w:pPr>
        <w:spacing w:line="560" w:lineRule="exact"/>
        <w:ind w:firstLine="560" w:firstLineChars="200"/>
        <w:rPr>
          <w:rFonts w:eastAsia="黑体"/>
          <w:sz w:val="28"/>
          <w:szCs w:val="28"/>
        </w:rPr>
      </w:pPr>
      <w:r>
        <w:rPr>
          <w:rFonts w:ascii="黑体" w:hAnsi="黑体" w:eastAsia="黑体"/>
          <w:sz w:val="28"/>
          <w:szCs w:val="28"/>
        </w:rPr>
        <w:t>一、</w:t>
      </w:r>
      <w:r>
        <w:rPr>
          <w:rFonts w:hint="eastAsia" w:ascii="黑体" w:hAnsi="黑体" w:eastAsia="黑体"/>
          <w:sz w:val="28"/>
          <w:szCs w:val="28"/>
        </w:rPr>
        <w:t>项目</w:t>
      </w:r>
      <w:r>
        <w:rPr>
          <w:rFonts w:ascii="黑体" w:hAnsi="黑体" w:eastAsia="黑体"/>
          <w:sz w:val="28"/>
          <w:szCs w:val="28"/>
        </w:rPr>
        <w:t>支出基本情况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（一）项目支出概况。</w:t>
      </w:r>
    </w:p>
    <w:p>
      <w:pPr>
        <w:spacing w:line="600" w:lineRule="exact"/>
        <w:ind w:firstLine="560" w:firstLineChars="200"/>
        <w:rPr>
          <w:rFonts w:ascii="方正楷体_GBK" w:hAnsi="方正楷体_GBK"/>
          <w:sz w:val="28"/>
          <w:szCs w:val="28"/>
        </w:rPr>
      </w:pPr>
      <w:r>
        <w:rPr>
          <w:rFonts w:ascii="方正楷体_GBK" w:hAnsi="方正楷体_GBK"/>
          <w:sz w:val="28"/>
          <w:szCs w:val="28"/>
        </w:rPr>
        <w:t>2023年交通项目建设资金到位22576.5万元，支出22576.5万元。</w:t>
      </w:r>
    </w:p>
    <w:p>
      <w:pPr>
        <w:spacing w:line="600" w:lineRule="exact"/>
        <w:ind w:firstLine="560" w:firstLineChars="200"/>
        <w:rPr>
          <w:rFonts w:ascii="方正楷体_GBK" w:hAnsi="方正楷体_GBK"/>
          <w:sz w:val="28"/>
          <w:szCs w:val="28"/>
        </w:rPr>
      </w:pPr>
      <w:r>
        <w:rPr>
          <w:rFonts w:ascii="方正楷体_GBK" w:hAnsi="方正楷体_GBK"/>
          <w:sz w:val="28"/>
          <w:szCs w:val="28"/>
        </w:rPr>
        <w:t>其中湘财预【2022】107号文2022年第二批农村公路建设补助资金2254万元，湘财预【2022】208号文2022年第五批车辆购置税补助资金108万元，湘财预【2022】233号文农村公路建设补助资金995万元，湘财预【2022】290号文农村公路建设补助资金418万元</w:t>
      </w:r>
      <w:r>
        <w:rPr>
          <w:rFonts w:hint="eastAsia" w:ascii="方正楷体_GBK" w:hAnsi="方正楷体_GBK"/>
          <w:sz w:val="28"/>
          <w:szCs w:val="28"/>
          <w:lang w:eastAsia="zh-CN"/>
        </w:rPr>
        <w:t>、</w:t>
      </w:r>
      <w:r>
        <w:rPr>
          <w:rFonts w:ascii="方正楷体_GBK" w:hAnsi="方正楷体_GBK"/>
          <w:sz w:val="28"/>
          <w:szCs w:val="28"/>
        </w:rPr>
        <w:t>站场建设资金300万元，湘财预【2022】106号文不停车检测系统建设80万元，湘财预【2023】49号文四共轴线国省补助资金9490万元</w:t>
      </w:r>
      <w:r>
        <w:rPr>
          <w:rFonts w:hint="eastAsia" w:ascii="方正楷体_GBK" w:hAnsi="方正楷体_GBK"/>
          <w:sz w:val="28"/>
          <w:szCs w:val="28"/>
          <w:lang w:eastAsia="zh-CN"/>
        </w:rPr>
        <w:t>、</w:t>
      </w:r>
      <w:r>
        <w:rPr>
          <w:rFonts w:ascii="方正楷体_GBK" w:hAnsi="方正楷体_GBK"/>
          <w:sz w:val="28"/>
          <w:szCs w:val="28"/>
        </w:rPr>
        <w:t>农村公路建设补助资金1017万元</w:t>
      </w:r>
      <w:r>
        <w:rPr>
          <w:rFonts w:hint="eastAsia" w:ascii="方正楷体_GBK" w:hAnsi="方正楷体_GBK"/>
          <w:sz w:val="28"/>
          <w:szCs w:val="28"/>
          <w:lang w:eastAsia="zh-CN"/>
        </w:rPr>
        <w:t>，</w:t>
      </w:r>
      <w:r>
        <w:rPr>
          <w:rFonts w:ascii="方正楷体_GBK" w:hAnsi="方正楷体_GBK"/>
          <w:sz w:val="28"/>
          <w:szCs w:val="28"/>
        </w:rPr>
        <w:t>湘财预【2023】237号文农村公路建设补助资金322万元，湘财建指【2023】140号文第三批水运项目专项补助资金（白沙千吨级码头提质改造）30万元。交通项目市级配套资金7562.5万元。</w:t>
      </w:r>
    </w:p>
    <w:p>
      <w:pPr>
        <w:spacing w:line="600" w:lineRule="exact"/>
        <w:ind w:firstLine="560" w:firstLineChars="200"/>
        <w:rPr>
          <w:rFonts w:ascii="方正楷体_GBK" w:hAnsi="方正楷体_GBK"/>
          <w:sz w:val="28"/>
          <w:szCs w:val="28"/>
        </w:rPr>
      </w:pPr>
      <w:r>
        <w:rPr>
          <w:rFonts w:ascii="方正楷体_GBK" w:hAnsi="方正楷体_GBK"/>
          <w:sz w:val="28"/>
          <w:szCs w:val="28"/>
        </w:rPr>
        <w:t>（二）项目资金使用管理情况。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为规范项目管理，</w:t>
      </w:r>
      <w:r>
        <w:rPr>
          <w:rFonts w:hint="eastAsia" w:ascii="方正楷体_GBK" w:hAnsi="方正楷体_GBK"/>
          <w:sz w:val="28"/>
          <w:szCs w:val="28"/>
          <w:lang w:eastAsia="zh-CN"/>
        </w:rPr>
        <w:t>我</w:t>
      </w:r>
      <w:r>
        <w:rPr>
          <w:rFonts w:ascii="方正楷体_GBK" w:hAnsi="方正楷体_GBK"/>
          <w:sz w:val="28"/>
          <w:szCs w:val="28"/>
        </w:rPr>
        <w:t>局制定了《沅江市交通运输局专项工程财务管理制度》、《沅江市交通运输局专项工程资金管理制度》，严格按照相应的业务管理制度，规范各项经费的开支。资金使用规范，符合国家财经法规和财务管理以及有关专项资金管理办法的规定；资金的拨付有完整的审批程序和手续；项目的重大开支经过评估认证，符合项目预算批复或合同规定的用途；不存在截留、挤占、挪用、虚列支出等情况。保障</w:t>
      </w:r>
      <w:bookmarkStart w:id="0" w:name="_GoBack"/>
      <w:bookmarkEnd w:id="0"/>
      <w:r>
        <w:rPr>
          <w:rFonts w:ascii="方正楷体_GBK" w:hAnsi="方正楷体_GBK"/>
          <w:sz w:val="28"/>
          <w:szCs w:val="28"/>
        </w:rPr>
        <w:t>会计核算准确、财务资料完整。</w:t>
      </w:r>
    </w:p>
    <w:p>
      <w:pPr>
        <w:spacing w:line="600" w:lineRule="exact"/>
        <w:ind w:firstLine="560" w:firstLineChars="200"/>
        <w:rPr>
          <w:rFonts w:ascii="方正楷体_GBK" w:hAnsi="方正楷体_GBK"/>
          <w:sz w:val="28"/>
          <w:szCs w:val="28"/>
        </w:rPr>
      </w:pPr>
      <w:r>
        <w:rPr>
          <w:rFonts w:ascii="方正楷体_GBK" w:hAnsi="方正楷体_GBK"/>
          <w:sz w:val="28"/>
          <w:szCs w:val="28"/>
        </w:rPr>
        <w:t>（三）项目支出绩效目标完成程度。</w:t>
      </w:r>
    </w:p>
    <w:p>
      <w:pPr>
        <w:spacing w:line="600" w:lineRule="exact"/>
        <w:ind w:firstLine="560" w:firstLineChars="200"/>
        <w:rPr>
          <w:rFonts w:ascii="方正楷体_GBK" w:hAnsi="方正楷体_GBK"/>
          <w:sz w:val="28"/>
          <w:szCs w:val="28"/>
        </w:rPr>
      </w:pPr>
      <w:r>
        <w:rPr>
          <w:rFonts w:ascii="方正楷体_GBK" w:hAnsi="方正楷体_GBK"/>
          <w:sz w:val="28"/>
          <w:szCs w:val="28"/>
        </w:rPr>
        <w:t>2022年农村建设补助资金绩效总目标是支持农村公路建设89.303公里，实际已完成支持公路建设89.303公里，保障了农村公路道路畅通。</w:t>
      </w:r>
    </w:p>
    <w:p>
      <w:pPr>
        <w:spacing w:line="600" w:lineRule="exact"/>
        <w:ind w:firstLine="560" w:firstLineChars="200"/>
        <w:rPr>
          <w:rFonts w:ascii="方正楷体_GBK" w:hAnsi="方正楷体_GBK"/>
          <w:sz w:val="28"/>
          <w:szCs w:val="28"/>
        </w:rPr>
      </w:pPr>
      <w:r>
        <w:rPr>
          <w:rFonts w:ascii="方正楷体_GBK" w:hAnsi="方正楷体_GBK"/>
          <w:sz w:val="28"/>
          <w:szCs w:val="28"/>
        </w:rPr>
        <w:t>2023年农村建设补助资金绩效总目标是支持农村公路建设49.935公里，实际已完成支持公路建设49.935公里，保障了农村公路道路畅通。</w:t>
      </w:r>
    </w:p>
    <w:p>
      <w:pPr>
        <w:spacing w:line="600" w:lineRule="exact"/>
        <w:ind w:firstLine="560" w:firstLineChars="200"/>
        <w:rPr>
          <w:rFonts w:ascii="方正楷体_GBK" w:hAnsi="方正楷体_GBK"/>
          <w:sz w:val="28"/>
          <w:szCs w:val="28"/>
        </w:rPr>
      </w:pPr>
      <w:r>
        <w:rPr>
          <w:rFonts w:ascii="方正楷体_GBK" w:hAnsi="方正楷体_GBK"/>
          <w:sz w:val="28"/>
          <w:szCs w:val="28"/>
        </w:rPr>
        <w:t>2023年第三批水运项目资金绩效总目标是完成码头建设1个，实际完成沅江白沙千吨级码头提质改造，保障了码头污染防治稳步进行。</w:t>
      </w:r>
    </w:p>
    <w:p>
      <w:pPr>
        <w:spacing w:line="600" w:lineRule="exact"/>
        <w:ind w:firstLine="560" w:firstLineChars="200"/>
        <w:rPr>
          <w:rFonts w:ascii="方正楷体_GBK" w:hAnsi="方正楷体_GBK"/>
          <w:sz w:val="28"/>
          <w:szCs w:val="28"/>
        </w:rPr>
      </w:pPr>
      <w:r>
        <w:rPr>
          <w:rFonts w:ascii="方正楷体_GBK" w:hAnsi="方正楷体_GBK"/>
          <w:sz w:val="28"/>
          <w:szCs w:val="28"/>
        </w:rPr>
        <w:t>2022年站场建设资金绩效总目标是完成站场建设1个，实际完成沅江客运总站建设，规范客运市场管理，使人民享受绿色出行的方便。</w:t>
      </w:r>
    </w:p>
    <w:p>
      <w:pPr>
        <w:spacing w:line="600" w:lineRule="exact"/>
        <w:ind w:firstLine="560" w:firstLineChars="200"/>
        <w:rPr>
          <w:rFonts w:ascii="黑体" w:hAnsi="黑体" w:eastAsia="黑体"/>
          <w:sz w:val="28"/>
          <w:szCs w:val="28"/>
        </w:rPr>
      </w:pPr>
      <w:r>
        <w:rPr>
          <w:rFonts w:ascii="黑体" w:hAnsi="黑体" w:eastAsia="黑体"/>
          <w:sz w:val="28"/>
          <w:szCs w:val="28"/>
        </w:rPr>
        <w:t>二、绩效评价工作情况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（一）绩效自评工作小组成立情况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2024年3月18日，我局成立了由交通局财务股牵头、相关单位参加的自评工作小组，具体负责实施绩效自评工作。自评小组依据上述文件的要求，结合我局实际情况，开展了基础数据收集整理工作、下属单位绩效自评工作。</w:t>
      </w:r>
    </w:p>
    <w:p>
      <w:pPr>
        <w:spacing w:line="600" w:lineRule="exact"/>
        <w:ind w:firstLine="560" w:firstLineChars="200"/>
        <w:rPr>
          <w:rFonts w:ascii="方正楷体_GBK" w:hAnsi="方正楷体_GBK"/>
          <w:sz w:val="28"/>
          <w:szCs w:val="28"/>
        </w:rPr>
      </w:pPr>
      <w:r>
        <w:rPr>
          <w:rFonts w:ascii="方正楷体_GBK" w:hAnsi="方正楷体_GBK"/>
          <w:sz w:val="28"/>
          <w:szCs w:val="28"/>
        </w:rPr>
        <w:t>(二)自评工作组织实施情况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自评工作按照年度绩效目标进行评价，采取绩效自评与现场评价相结合的方式进行，主要包括工作计划执行情况、政策法规执行情况、工作成效及绩效结果等方面，小组成员积极配合，按时提交各自部门的数据和信息，组织开展了内部自评和外部评估工作，提出了工作的问题和不足，并提出了整改措施和改进意见。</w:t>
      </w:r>
    </w:p>
    <w:p>
      <w:pPr>
        <w:spacing w:line="600" w:lineRule="exact"/>
        <w:ind w:firstLine="560" w:firstLineChars="200"/>
        <w:rPr>
          <w:rFonts w:ascii="方正楷体_GBK" w:hAnsi="方正楷体_GBK"/>
          <w:sz w:val="28"/>
          <w:szCs w:val="28"/>
        </w:rPr>
      </w:pPr>
      <w:r>
        <w:rPr>
          <w:rFonts w:ascii="方正楷体_GBK" w:hAnsi="方正楷体_GBK"/>
          <w:sz w:val="28"/>
          <w:szCs w:val="28"/>
        </w:rPr>
        <w:t>(三)自评结果应用反馈情况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通过绩效评价，对上年度专项资金使用情况有了全面了解，按照中心的统筹安排，通过反馈整改，对发现的问题、整改情况及自评报告及时报送主管部门审核。</w:t>
      </w:r>
    </w:p>
    <w:p>
      <w:pPr>
        <w:spacing w:line="600" w:lineRule="exact"/>
        <w:ind w:firstLine="560" w:firstLineChars="200"/>
        <w:rPr>
          <w:rFonts w:ascii="黑体" w:hAnsi="黑体" w:eastAsia="黑体"/>
          <w:sz w:val="28"/>
          <w:szCs w:val="28"/>
        </w:rPr>
      </w:pPr>
      <w:r>
        <w:rPr>
          <w:rFonts w:ascii="黑体" w:hAnsi="黑体" w:eastAsia="黑体"/>
          <w:sz w:val="28"/>
          <w:szCs w:val="28"/>
        </w:rPr>
        <w:t>三、项目支出主要绩效及评价结论</w:t>
      </w:r>
    </w:p>
    <w:p>
      <w:pPr>
        <w:spacing w:line="600" w:lineRule="exact"/>
        <w:ind w:firstLine="560" w:firstLineChars="200"/>
        <w:rPr>
          <w:rFonts w:ascii="方正楷体_GBK" w:hAnsi="方正楷体_GBK"/>
          <w:sz w:val="28"/>
          <w:szCs w:val="28"/>
        </w:rPr>
      </w:pPr>
      <w:r>
        <w:rPr>
          <w:rFonts w:ascii="方正楷体_GBK" w:hAnsi="方正楷体_GBK"/>
          <w:sz w:val="28"/>
          <w:szCs w:val="28"/>
        </w:rPr>
        <w:t>交通运输发展专项资金项目决策、实施及管理符合相关文件规定，且按照计划实施，资金的拨付按工程进度支付，产出效果较好。</w:t>
      </w:r>
    </w:p>
    <w:p>
      <w:pPr>
        <w:spacing w:line="600" w:lineRule="exact"/>
        <w:ind w:firstLine="560" w:firstLineChars="200"/>
        <w:rPr>
          <w:rFonts w:ascii="黑体" w:hAnsi="黑体" w:eastAsia="黑体"/>
          <w:sz w:val="28"/>
          <w:szCs w:val="28"/>
        </w:rPr>
      </w:pPr>
      <w:r>
        <w:rPr>
          <w:rFonts w:ascii="黑体" w:hAnsi="黑体" w:eastAsia="黑体"/>
          <w:sz w:val="28"/>
          <w:szCs w:val="28"/>
        </w:rPr>
        <w:t>四、绩效评价指标分析</w:t>
      </w:r>
    </w:p>
    <w:p>
      <w:pPr>
        <w:spacing w:line="600" w:lineRule="exact"/>
        <w:ind w:firstLine="560" w:firstLineChars="200"/>
        <w:rPr>
          <w:rFonts w:ascii="方正楷体_GBK" w:hAnsi="方正楷体_GBK"/>
          <w:sz w:val="28"/>
          <w:szCs w:val="28"/>
        </w:rPr>
      </w:pPr>
      <w:r>
        <w:rPr>
          <w:rFonts w:ascii="方正楷体_GBK" w:hAnsi="方正楷体_GBK"/>
          <w:sz w:val="28"/>
          <w:szCs w:val="28"/>
        </w:rPr>
        <w:t>（一）项目支出决策情况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交通运输发展专项资金实施项目均按省厅下达计划实施，制定了合理的支出计划，保证了支出的合规性和有效性。</w:t>
      </w:r>
    </w:p>
    <w:p>
      <w:pPr>
        <w:spacing w:line="600" w:lineRule="exact"/>
        <w:ind w:firstLine="560" w:firstLineChars="200"/>
        <w:rPr>
          <w:rFonts w:ascii="方正楷体_GBK" w:hAnsi="方正楷体_GBK"/>
          <w:sz w:val="28"/>
          <w:szCs w:val="28"/>
        </w:rPr>
      </w:pPr>
      <w:r>
        <w:rPr>
          <w:rFonts w:ascii="方正楷体_GBK" w:hAnsi="方正楷体_GBK"/>
          <w:sz w:val="28"/>
          <w:szCs w:val="28"/>
        </w:rPr>
        <w:t>（二）项目执行过程情况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交通运输发展专项资金执行按照有关规定实施，项目实施由建设单位组织监理单位、施工单位现场验收签字确认，验收合格后按计量资料文件进行工程款支付。预算支出做到专款专用，不存在不合理、不合规现象。</w:t>
      </w:r>
    </w:p>
    <w:p>
      <w:pPr>
        <w:spacing w:line="600" w:lineRule="exact"/>
        <w:ind w:firstLine="560" w:firstLineChars="200"/>
        <w:rPr>
          <w:rFonts w:ascii="方正楷体_GBK" w:hAnsi="方正楷体_GBK"/>
          <w:sz w:val="28"/>
          <w:szCs w:val="28"/>
        </w:rPr>
      </w:pPr>
      <w:r>
        <w:rPr>
          <w:rFonts w:ascii="方正楷体_GBK" w:hAnsi="方正楷体_GBK"/>
          <w:sz w:val="28"/>
          <w:szCs w:val="28"/>
        </w:rPr>
        <w:t>（三）项目支出产出情况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2023年交通运输发展专项资金实施项目完成站场建设1个，农村公路建设139.238公里，码头污染防治奖补即白沙千吨级码头提质改造1个。实施路段基数状况水平提升，资金使用合规。</w:t>
      </w:r>
    </w:p>
    <w:p>
      <w:pPr>
        <w:spacing w:line="600" w:lineRule="exact"/>
        <w:ind w:firstLine="560" w:firstLineChars="200"/>
        <w:rPr>
          <w:rFonts w:ascii="方正楷体_GBK" w:hAnsi="方正楷体_GBK"/>
          <w:sz w:val="28"/>
          <w:szCs w:val="28"/>
        </w:rPr>
      </w:pPr>
      <w:r>
        <w:rPr>
          <w:rFonts w:ascii="方正楷体_GBK" w:hAnsi="方正楷体_GBK"/>
          <w:sz w:val="28"/>
          <w:szCs w:val="28"/>
        </w:rPr>
        <w:t>（四）项目支出效益情况</w:t>
      </w:r>
    </w:p>
    <w:p>
      <w:pPr>
        <w:spacing w:line="600" w:lineRule="exact"/>
        <w:ind w:firstLine="560" w:firstLineChars="200"/>
        <w:rPr>
          <w:rFonts w:ascii="方正楷体_GBK" w:hAnsi="方正楷体_GBK"/>
          <w:sz w:val="28"/>
          <w:szCs w:val="28"/>
        </w:rPr>
      </w:pPr>
      <w:r>
        <w:rPr>
          <w:rFonts w:ascii="方正楷体_GBK" w:hAnsi="方正楷体_GBK"/>
          <w:sz w:val="28"/>
          <w:szCs w:val="28"/>
        </w:rPr>
        <w:t>交通运输发展专项资金实施项目的完成，推动了农村公路养护、安保等项目的开展，有效降低货运车辆超载率，提高公路使用效能，延长公路使用寿命，提高改善公共服务水平，提升科技治超能力并逐步建立健全全县治超体系，为群众出行提供了更加便利及安全的条件，促进了区域经济的发展和社会的稳定。</w:t>
      </w:r>
    </w:p>
    <w:p>
      <w:pPr>
        <w:spacing w:line="600" w:lineRule="exact"/>
        <w:ind w:firstLine="560" w:firstLineChars="200"/>
        <w:rPr>
          <w:rFonts w:ascii="黑体" w:hAnsi="黑体" w:eastAsia="黑体"/>
          <w:sz w:val="28"/>
          <w:szCs w:val="28"/>
        </w:rPr>
      </w:pPr>
      <w:r>
        <w:rPr>
          <w:rFonts w:ascii="黑体" w:hAnsi="黑体" w:eastAsia="黑体"/>
          <w:sz w:val="28"/>
          <w:szCs w:val="28"/>
        </w:rPr>
        <w:t>五、主要经验及做法、存在的问题及原因分析</w:t>
      </w:r>
    </w:p>
    <w:p>
      <w:pPr>
        <w:spacing w:line="600" w:lineRule="exact"/>
        <w:ind w:firstLine="560" w:firstLineChars="200"/>
        <w:rPr>
          <w:rFonts w:ascii="方正楷体_GBK" w:hAnsi="方正楷体_GBK"/>
          <w:sz w:val="28"/>
          <w:szCs w:val="28"/>
        </w:rPr>
      </w:pPr>
      <w:r>
        <w:rPr>
          <w:rFonts w:ascii="方正楷体_GBK" w:hAnsi="方正楷体_GBK"/>
          <w:sz w:val="28"/>
          <w:szCs w:val="28"/>
        </w:rPr>
        <w:t>由于预算资金及配套资金的到位时间和到位情况均会出现不同程度的变化，导致并不能一成不变的按照年初计划组织实施全年计划任务，所以在年初制定相关计划内容的时候，不但要将计划制定的更具有包容性和容错性，同时要加强同上级单位和其他职能部门的有效衔接和沟通，以便在计划出现变化时能迅速积极应对，保障项目正常开展，按时完成年度计划任务。同时，由于重大项目组织实施的前期程序较多，周期较长，往往导致项目长期搁置或者在年底集中批量开展，影响年度任务的完成，下一步将就解放思想，优化管理机制，下放事权等方面与上级部门及本级相关职能单位进行更进一步的研究与探索。</w:t>
      </w:r>
    </w:p>
    <w:p>
      <w:pPr>
        <w:spacing w:line="600" w:lineRule="exact"/>
        <w:ind w:firstLine="560" w:firstLineChars="200"/>
        <w:rPr>
          <w:rFonts w:ascii="黑体" w:hAnsi="黑体" w:eastAsia="黑体"/>
          <w:sz w:val="28"/>
          <w:szCs w:val="28"/>
        </w:rPr>
      </w:pPr>
      <w:r>
        <w:rPr>
          <w:rFonts w:ascii="黑体" w:hAnsi="黑体" w:eastAsia="黑体"/>
          <w:sz w:val="28"/>
          <w:szCs w:val="28"/>
        </w:rPr>
        <w:t>六、有关建议</w:t>
      </w:r>
    </w:p>
    <w:p>
      <w:pPr>
        <w:spacing w:line="600" w:lineRule="exact"/>
        <w:ind w:firstLine="560" w:firstLineChars="200"/>
        <w:rPr>
          <w:rFonts w:ascii="方正楷体_GBK" w:hAnsi="方正楷体_GBK"/>
          <w:sz w:val="28"/>
          <w:szCs w:val="28"/>
        </w:rPr>
      </w:pPr>
      <w:r>
        <w:rPr>
          <w:rFonts w:ascii="方正楷体_GBK" w:hAnsi="方正楷体_GBK"/>
          <w:sz w:val="28"/>
          <w:szCs w:val="28"/>
        </w:rPr>
        <w:t>（一）准确编制预算。加强单位内部机构各站所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w:t>
      </w:r>
    </w:p>
    <w:p>
      <w:pPr>
        <w:spacing w:line="600" w:lineRule="exact"/>
        <w:ind w:firstLine="560" w:firstLineChars="200"/>
        <w:rPr>
          <w:rFonts w:ascii="方正楷体_GBK" w:hAnsi="方正楷体_GBK"/>
          <w:sz w:val="28"/>
          <w:szCs w:val="28"/>
        </w:rPr>
      </w:pPr>
      <w:r>
        <w:rPr>
          <w:rFonts w:ascii="方正楷体_GBK" w:hAnsi="方正楷体_GBK"/>
          <w:sz w:val="28"/>
          <w:szCs w:val="28"/>
        </w:rPr>
        <w:t>（二）加强财务管理，认真学习政策。要加强单位财务管理，健全单位财务管理制度体系，规范单位财务行为。在费用报账支付时，按照预算规定的费用项目和用途进行资金使用审核、列报支付、财务核算，杜绝超支现象的发生。加强政策学习，提高思想认识。组织相关人员认真学习《预算法》等相关法规、制度。</w:t>
      </w:r>
    </w:p>
    <w:p>
      <w:pPr>
        <w:spacing w:line="600" w:lineRule="exact"/>
        <w:ind w:firstLine="560" w:firstLineChars="200"/>
        <w:rPr>
          <w:rFonts w:ascii="方正楷体_GBK" w:hAnsi="方正楷体_GBK"/>
          <w:sz w:val="28"/>
          <w:szCs w:val="28"/>
        </w:rPr>
      </w:pPr>
      <w:r>
        <w:rPr>
          <w:rFonts w:ascii="方正楷体_GBK" w:hAnsi="方正楷体_GBK"/>
          <w:sz w:val="28"/>
          <w:szCs w:val="28"/>
        </w:rPr>
        <w:t>（三）加强预算执行力度，以减少沉淀资金。加快资金拨付。按照专项资金类型限定拨付期限：对尚未明确具体项目的专项资金，要尽快确定项目计划，会同市财政部门提出资金分配方案；对已经明确项目的专项资金，要求各级财政部门在收到项目计划后3个工作日内将资金下达到有关部门和实施单位。</w:t>
      </w:r>
    </w:p>
    <w:p>
      <w:pPr>
        <w:spacing w:line="600" w:lineRule="exact"/>
        <w:ind w:firstLine="560" w:firstLineChars="200"/>
        <w:rPr>
          <w:rFonts w:ascii="方正楷体_GBK" w:hAnsi="方正楷体_GBK"/>
          <w:sz w:val="28"/>
          <w:szCs w:val="28"/>
        </w:rPr>
      </w:pPr>
      <w:r>
        <w:rPr>
          <w:rFonts w:ascii="方正楷体_GBK" w:hAnsi="方正楷体_GBK"/>
          <w:sz w:val="28"/>
          <w:szCs w:val="28"/>
        </w:rPr>
        <w:t>（四）要加快督促项目工程的实施和验收，完善财务报账手续，防止项目资金滞留。</w:t>
      </w:r>
    </w:p>
    <w:p>
      <w:pPr>
        <w:spacing w:line="600" w:lineRule="exact"/>
        <w:ind w:firstLine="560" w:firstLineChars="200"/>
        <w:rPr>
          <w:rFonts w:ascii="方正楷体_GBK" w:hAnsi="方正楷体_GBK"/>
          <w:sz w:val="28"/>
          <w:szCs w:val="28"/>
        </w:rPr>
      </w:pPr>
      <w:r>
        <w:rPr>
          <w:rFonts w:ascii="方正楷体_GBK" w:hAnsi="方正楷体_GBK"/>
          <w:sz w:val="28"/>
          <w:szCs w:val="28"/>
        </w:rPr>
        <w:t>（五）完善项目责任制。项目实施责任单位，应加强与财务部门的沟通协调和项目实施，加快预算的执行进度，争取达到财政要求。</w:t>
      </w:r>
    </w:p>
    <w:p>
      <w:pPr>
        <w:spacing w:line="600" w:lineRule="exact"/>
        <w:ind w:firstLine="560" w:firstLineChars="200"/>
        <w:rPr>
          <w:rFonts w:ascii="黑体" w:hAnsi="黑体" w:eastAsia="黑体"/>
          <w:sz w:val="28"/>
          <w:szCs w:val="28"/>
        </w:rPr>
      </w:pPr>
      <w:r>
        <w:rPr>
          <w:rFonts w:ascii="黑体" w:hAnsi="黑体" w:eastAsia="黑体"/>
          <w:sz w:val="28"/>
          <w:szCs w:val="28"/>
        </w:rPr>
        <w:t>七、其他需要说明的问题</w:t>
      </w:r>
    </w:p>
    <w:p>
      <w:pPr>
        <w:spacing w:line="600" w:lineRule="exact"/>
        <w:ind w:firstLine="560" w:firstLineChars="200"/>
        <w:rPr>
          <w:rFonts w:ascii="方正楷体_GBK" w:hAnsi="方正楷体_GBK"/>
          <w:sz w:val="28"/>
          <w:szCs w:val="28"/>
        </w:rPr>
      </w:pPr>
      <w:r>
        <w:rPr>
          <w:rFonts w:ascii="方正楷体_GBK" w:hAnsi="方正楷体_GBK"/>
          <w:sz w:val="28"/>
          <w:szCs w:val="28"/>
        </w:rPr>
        <w:t>无</w:t>
      </w:r>
    </w:p>
    <w:p>
      <w:pPr>
        <w:spacing w:line="600" w:lineRule="exact"/>
        <w:ind w:firstLine="560" w:firstLineChars="200"/>
        <w:rPr>
          <w:rFonts w:ascii="方正楷体_GBK" w:hAnsi="方正楷体_GBK"/>
          <w:sz w:val="28"/>
          <w:szCs w:val="28"/>
        </w:rPr>
      </w:pPr>
      <w:r>
        <w:rPr>
          <w:rFonts w:ascii="方正楷体_GBK" w:hAnsi="方正楷体_GBK"/>
          <w:sz w:val="28"/>
          <w:szCs w:val="28"/>
        </w:rPr>
        <w:t xml:space="preserve"> </w:t>
      </w:r>
    </w:p>
    <w:p>
      <w:pPr>
        <w:spacing w:line="600" w:lineRule="exact"/>
        <w:ind w:firstLine="560" w:firstLineChars="200"/>
        <w:rPr>
          <w:rFonts w:ascii="方正楷体_GBK" w:hAnsi="方正楷体_GBK"/>
          <w:sz w:val="28"/>
          <w:szCs w:val="28"/>
        </w:rPr>
      </w:pPr>
      <w:r>
        <w:rPr>
          <w:rFonts w:ascii="方正楷体_GBK" w:hAnsi="方正楷体_GBK"/>
          <w:sz w:val="28"/>
          <w:szCs w:val="28"/>
        </w:rPr>
        <w:t xml:space="preserve">                                        沅江市交通运输局</w:t>
      </w:r>
    </w:p>
    <w:p>
      <w:pPr>
        <w:spacing w:line="600" w:lineRule="exact"/>
        <w:ind w:firstLine="560" w:firstLineChars="200"/>
        <w:rPr>
          <w:rFonts w:hint="eastAsia" w:ascii="方正楷体_GBK" w:hAnsi="方正楷体_GBK"/>
          <w:sz w:val="28"/>
          <w:szCs w:val="28"/>
        </w:rPr>
        <w:sectPr>
          <w:footerReference r:id="rId3" w:type="default"/>
          <w:pgSz w:w="12240" w:h="15840"/>
          <w:pgMar w:top="1440" w:right="1800" w:bottom="1440" w:left="1800" w:header="720" w:footer="720" w:gutter="0"/>
          <w:pgNumType w:fmt="decimal"/>
          <w:cols w:space="720" w:num="1"/>
        </w:sectPr>
      </w:pPr>
      <w:r>
        <w:rPr>
          <w:rFonts w:ascii="方正楷体_GBK" w:hAnsi="方正楷体_GBK"/>
          <w:sz w:val="28"/>
          <w:szCs w:val="28"/>
        </w:rPr>
        <w:t xml:space="preserve">                                        2024年5月1</w:t>
      </w:r>
      <w:r>
        <w:rPr>
          <w:rFonts w:hint="eastAsia" w:ascii="方正楷体_GBK" w:hAnsi="方正楷体_GBK"/>
          <w:sz w:val="28"/>
          <w:szCs w:val="28"/>
        </w:rPr>
        <w:t>0日</w:t>
      </w: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Times New Roman"/>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方正楷体_GBK">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U0OGFhYzEyMzA5YjcxNzYyMDJmYzUzOTUyMmRkZTkifQ=="/>
  </w:docVars>
  <w:rsids>
    <w:rsidRoot w:val="003135CA"/>
    <w:rsid w:val="003135CA"/>
    <w:rsid w:val="00430F49"/>
    <w:rsid w:val="1F480A42"/>
    <w:rsid w:val="2EEC373F"/>
    <w:rsid w:val="468A7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2474</Words>
  <Characters>2623</Characters>
  <Lines>19</Lines>
  <Paragraphs>5</Paragraphs>
  <TotalTime>9</TotalTime>
  <ScaleCrop>false</ScaleCrop>
  <LinksUpToDate>false</LinksUpToDate>
  <CharactersWithSpaces>2720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2024-05-10T02:29:00Z</dcterms:created>
  <dc:creator>Administrator</dc:creator>
  <cp:lastModifiedBy>筱梓</cp:lastModifiedBy>
  <cp:lastPrinted>2024-05-10T09:01:41Z</cp:lastPrinted>
  <dcterms:modified xsi:type="dcterms:W3CDTF">2024-05-10T09:01:45Z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2C031288CA3C4D1AA3BBD097428D278C_12</vt:lpwstr>
  </property>
</Properties>
</file>