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BE2AC">
      <w:pPr>
        <w:pStyle w:val="13"/>
        <w:jc w:val="center"/>
        <w:rPr>
          <w:sz w:val="56"/>
          <w:szCs w:val="56"/>
        </w:rPr>
      </w:pPr>
      <w:r>
        <w:rPr>
          <w:sz w:val="5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-236220</wp:posOffset>
                </wp:positionH>
                <wp:positionV relativeFrom="paragraph">
                  <wp:posOffset>-297180</wp:posOffset>
                </wp:positionV>
                <wp:extent cx="1523365" cy="517525"/>
                <wp:effectExtent l="0" t="0" r="635" b="158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99590" y="935990"/>
                          <a:ext cx="1523365" cy="517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14F7A5">
                            <w:pPr>
                              <w:rPr>
                                <w:rFonts w:hint="eastAsia" w:ascii="楷体" w:hAnsi="楷体" w:eastAsia="楷体" w:cs="楷体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sz w:val="30"/>
                                <w:szCs w:val="30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楷体" w:hAnsi="楷体" w:eastAsia="楷体" w:cs="楷体"/>
                                <w:sz w:val="30"/>
                                <w:szCs w:val="30"/>
                                <w:lang w:val="en-US" w:eastAsia="zh-CN"/>
                              </w:rPr>
                              <w:t>1：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6pt;margin-top:-23.4pt;height:40.75pt;width:119.95pt;z-index:251659264;mso-width-relative:page;mso-height-relative:page;" fillcolor="#FFFFFF [3201]" filled="t" stroked="f" coordsize="21600,21600" o:gfxdata="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cvAmUNYAAAAK&#10;AQAADwAAAAAAAAABACAAAAAiAAAAZHJzL2Rvd25yZXYueG1sUEsBAhQAFAAAAAgAh07iQEe/k8dX&#10;AgAAmgQAAA4AAAAAAAAAAQAgAAAAJQ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514F7A5">
                      <w:pPr>
                        <w:rPr>
                          <w:rFonts w:hint="eastAsia" w:ascii="楷体" w:hAnsi="楷体" w:eastAsia="楷体" w:cs="楷体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sz w:val="30"/>
                          <w:szCs w:val="30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楷体" w:hAnsi="楷体" w:eastAsia="楷体" w:cs="楷体"/>
                          <w:sz w:val="30"/>
                          <w:szCs w:val="30"/>
                          <w:lang w:val="en-US" w:eastAsia="zh-CN"/>
                        </w:rPr>
                        <w:t>1：</w:t>
                      </w:r>
                    </w:p>
                  </w:txbxContent>
                </v:textbox>
              </v:shape>
            </w:pict>
          </mc:Fallback>
        </mc:AlternateContent>
      </w:r>
    </w:p>
    <w:p w14:paraId="5FF4535E">
      <w:pPr>
        <w:pStyle w:val="13"/>
        <w:jc w:val="center"/>
        <w:rPr>
          <w:sz w:val="56"/>
          <w:szCs w:val="56"/>
        </w:rPr>
      </w:pPr>
    </w:p>
    <w:p w14:paraId="601B09AC">
      <w:pPr>
        <w:pStyle w:val="13"/>
        <w:jc w:val="center"/>
        <w:rPr>
          <w:sz w:val="84"/>
          <w:szCs w:val="84"/>
        </w:rPr>
      </w:pPr>
    </w:p>
    <w:p w14:paraId="2B2DF94D">
      <w:pPr>
        <w:pStyle w:val="13"/>
        <w:jc w:val="center"/>
        <w:rPr>
          <w:sz w:val="84"/>
          <w:szCs w:val="84"/>
        </w:rPr>
      </w:pPr>
    </w:p>
    <w:p w14:paraId="08125399">
      <w:pPr>
        <w:pStyle w:val="13"/>
        <w:jc w:val="center"/>
        <w:rPr>
          <w:rFonts w:hint="eastAsia" w:ascii="方正小标宋_GBK" w:hAnsi="方正小标宋_GBK" w:eastAsia="方正小标宋_GBK" w:cs="方正小标宋_GBK"/>
          <w:sz w:val="84"/>
          <w:szCs w:val="84"/>
        </w:rPr>
      </w:pPr>
      <w:r>
        <w:rPr>
          <w:rFonts w:hint="eastAsia" w:ascii="方正小标宋_GBK" w:hAnsi="方正小标宋_GBK" w:eastAsia="方正小标宋_GBK" w:cs="方正小标宋_GBK"/>
          <w:sz w:val="84"/>
          <w:szCs w:val="84"/>
        </w:rPr>
        <w:t>202</w:t>
      </w:r>
      <w:r>
        <w:rPr>
          <w:rFonts w:hint="eastAsia" w:ascii="方正小标宋_GBK" w:hAnsi="方正小标宋_GBK" w:eastAsia="方正小标宋_GBK" w:cs="方正小标宋_GBK"/>
          <w:sz w:val="84"/>
          <w:szCs w:val="8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84"/>
          <w:szCs w:val="84"/>
        </w:rPr>
        <w:t>年度</w:t>
      </w:r>
    </w:p>
    <w:p w14:paraId="658BB91D">
      <w:pPr>
        <w:pStyle w:val="13"/>
        <w:jc w:val="center"/>
        <w:rPr>
          <w:rFonts w:hint="eastAsia" w:ascii="方正小标宋_GBK" w:hAnsi="方正小标宋_GBK" w:eastAsia="方正小标宋_GBK" w:cs="方正小标宋_GBK"/>
          <w:sz w:val="84"/>
          <w:szCs w:val="84"/>
        </w:rPr>
      </w:pPr>
      <w:r>
        <w:rPr>
          <w:rFonts w:hint="eastAsia" w:ascii="方正小标宋_GBK" w:hAnsi="方正小标宋_GBK" w:eastAsia="方正小标宋_GBK" w:cs="方正小标宋_GBK"/>
          <w:sz w:val="84"/>
          <w:szCs w:val="84"/>
          <w:lang w:eastAsia="zh-CN"/>
        </w:rPr>
        <w:t>沅江市档案馆</w:t>
      </w:r>
      <w:r>
        <w:rPr>
          <w:rFonts w:hint="eastAsia" w:ascii="方正小标宋_GBK" w:hAnsi="方正小标宋_GBK" w:eastAsia="方正小标宋_GBK" w:cs="方正小标宋_GBK"/>
          <w:sz w:val="84"/>
          <w:szCs w:val="84"/>
        </w:rPr>
        <w:t>部门决算</w:t>
      </w:r>
    </w:p>
    <w:p w14:paraId="4ED36AD5">
      <w:pPr>
        <w:pStyle w:val="13"/>
        <w:jc w:val="center"/>
        <w:rPr>
          <w:rFonts w:hint="eastAsia" w:ascii="方正小标宋_GBK" w:hAnsi="方正小标宋_GBK" w:eastAsia="方正小标宋_GBK" w:cs="方正小标宋_GBK"/>
          <w:sz w:val="56"/>
          <w:szCs w:val="56"/>
        </w:rPr>
      </w:pPr>
    </w:p>
    <w:p w14:paraId="3E82BD4F">
      <w:pPr>
        <w:pStyle w:val="13"/>
        <w:jc w:val="center"/>
        <w:rPr>
          <w:sz w:val="56"/>
          <w:szCs w:val="56"/>
        </w:rPr>
      </w:pPr>
    </w:p>
    <w:p w14:paraId="11D27221">
      <w:pPr>
        <w:pStyle w:val="13"/>
        <w:jc w:val="center"/>
        <w:rPr>
          <w:sz w:val="56"/>
          <w:szCs w:val="56"/>
        </w:rPr>
      </w:pPr>
    </w:p>
    <w:p w14:paraId="745F9166">
      <w:pPr>
        <w:pStyle w:val="13"/>
        <w:jc w:val="center"/>
        <w:rPr>
          <w:sz w:val="56"/>
          <w:szCs w:val="56"/>
        </w:rPr>
      </w:pPr>
    </w:p>
    <w:p w14:paraId="27C29F94">
      <w:pPr>
        <w:pStyle w:val="13"/>
        <w:jc w:val="center"/>
        <w:rPr>
          <w:sz w:val="32"/>
          <w:szCs w:val="32"/>
        </w:rPr>
      </w:pPr>
    </w:p>
    <w:p w14:paraId="270C6152">
      <w:pPr>
        <w:pStyle w:val="13"/>
        <w:jc w:val="center"/>
        <w:rPr>
          <w:sz w:val="32"/>
          <w:szCs w:val="32"/>
        </w:rPr>
      </w:pPr>
    </w:p>
    <w:p w14:paraId="41963241">
      <w:pPr>
        <w:pStyle w:val="13"/>
        <w:jc w:val="center"/>
        <w:rPr>
          <w:sz w:val="32"/>
          <w:szCs w:val="32"/>
        </w:rPr>
      </w:pPr>
    </w:p>
    <w:p w14:paraId="73DC7C56">
      <w:pPr>
        <w:pStyle w:val="13"/>
        <w:jc w:val="center"/>
        <w:rPr>
          <w:sz w:val="32"/>
          <w:szCs w:val="32"/>
        </w:rPr>
      </w:pPr>
    </w:p>
    <w:p w14:paraId="59B31BAA">
      <w:pPr>
        <w:pStyle w:val="13"/>
        <w:jc w:val="center"/>
        <w:rPr>
          <w:sz w:val="32"/>
          <w:szCs w:val="32"/>
        </w:rPr>
      </w:pPr>
    </w:p>
    <w:p w14:paraId="1C643B6D">
      <w:pPr>
        <w:pStyle w:val="13"/>
        <w:spacing w:line="500" w:lineRule="exact"/>
        <w:jc w:val="both"/>
        <w:rPr>
          <w:b/>
          <w:sz w:val="36"/>
          <w:szCs w:val="28"/>
        </w:rPr>
      </w:pPr>
    </w:p>
    <w:p w14:paraId="1D78AA24">
      <w:pPr>
        <w:pStyle w:val="13"/>
        <w:spacing w:line="500" w:lineRule="exact"/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目录</w:t>
      </w:r>
    </w:p>
    <w:p w14:paraId="06670E8C">
      <w:pPr>
        <w:pStyle w:val="13"/>
        <w:spacing w:line="500" w:lineRule="exact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第一部分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hAnsi="黑体" w:cs="黑体"/>
          <w:b w:val="0"/>
          <w:bCs/>
          <w:sz w:val="28"/>
          <w:szCs w:val="28"/>
          <w:lang w:eastAsia="zh-CN"/>
        </w:rPr>
        <w:t>沅江市档案馆</w:t>
      </w:r>
      <w:bookmarkStart w:id="6" w:name="_GoBack"/>
      <w:bookmarkEnd w:id="6"/>
      <w:r>
        <w:rPr>
          <w:rFonts w:hint="eastAsia" w:ascii="黑体" w:hAnsi="黑体" w:eastAsia="黑体" w:cs="黑体"/>
          <w:b w:val="0"/>
          <w:bCs/>
          <w:sz w:val="28"/>
          <w:szCs w:val="28"/>
        </w:rPr>
        <w:t>概况</w:t>
      </w:r>
    </w:p>
    <w:p w14:paraId="16E5B2AF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一、部门职责</w:t>
      </w:r>
    </w:p>
    <w:p w14:paraId="4D64C6E6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二、机构设置</w:t>
      </w:r>
    </w:p>
    <w:p w14:paraId="09067AC4">
      <w:pPr>
        <w:pStyle w:val="13"/>
        <w:spacing w:line="500" w:lineRule="exact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第二部分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部门决算表</w:t>
      </w:r>
    </w:p>
    <w:p w14:paraId="6B828389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一、收入支出决算总表</w:t>
      </w:r>
    </w:p>
    <w:p w14:paraId="33422170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二、收入决算表</w:t>
      </w:r>
    </w:p>
    <w:p w14:paraId="7C739E92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三、支出决算表</w:t>
      </w:r>
    </w:p>
    <w:p w14:paraId="6450510A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四、财政拨款收入支出决算总表</w:t>
      </w:r>
    </w:p>
    <w:p w14:paraId="7314454D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五、一般公共预算财政拨款支出决算表</w:t>
      </w:r>
    </w:p>
    <w:p w14:paraId="319A66B2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六、一般公共预算财政拨款基本支出决算明细表</w:t>
      </w:r>
    </w:p>
    <w:p w14:paraId="6E066441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七、政府性基金预算财政拨款收入支出决算表</w:t>
      </w:r>
    </w:p>
    <w:p w14:paraId="23B84837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八、国有资本经营预算财政拨款支出决算表</w:t>
      </w:r>
    </w:p>
    <w:p w14:paraId="3D71E4F5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九、财政拨款“三公”经费支出决算表</w:t>
      </w:r>
    </w:p>
    <w:p w14:paraId="6144EB17">
      <w:pPr>
        <w:pStyle w:val="13"/>
        <w:spacing w:line="500" w:lineRule="exact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第三部分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部门决算情况说明</w:t>
      </w:r>
    </w:p>
    <w:p w14:paraId="4E669890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一、收入支出决算总体情况说明</w:t>
      </w:r>
    </w:p>
    <w:p w14:paraId="23B6BAEE">
      <w:pPr>
        <w:spacing w:line="500" w:lineRule="exact"/>
        <w:ind w:firstLine="700" w:firstLineChars="25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二、收入决算情况说明</w:t>
      </w:r>
    </w:p>
    <w:p w14:paraId="7B4FC167"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三、支出决算情况说明</w:t>
      </w:r>
    </w:p>
    <w:p w14:paraId="13874C15"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 w14:paraId="691ACB84"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 w14:paraId="65CAB9AD"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 w14:paraId="36B9F753"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七、财政拨款三公经费支出决算情况说明</w:t>
      </w:r>
    </w:p>
    <w:p w14:paraId="5948EF73"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八、政府性基金预算收入支出决算情况</w:t>
      </w:r>
    </w:p>
    <w:p w14:paraId="272F493A"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九、关于机关运行经费支出说明</w:t>
      </w:r>
    </w:p>
    <w:p w14:paraId="7743F6C6"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十、一般性支出情况说明</w:t>
      </w:r>
    </w:p>
    <w:p w14:paraId="063ECECC"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十一、关于政府采购支出说明</w:t>
      </w:r>
    </w:p>
    <w:p w14:paraId="3FFDE148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十二、关于国有资产占用情况说明</w:t>
      </w:r>
    </w:p>
    <w:p w14:paraId="4FB1CAFC">
      <w:pPr>
        <w:pStyle w:val="13"/>
        <w:spacing w:line="500" w:lineRule="exact"/>
        <w:ind w:firstLine="700" w:firstLineChars="2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十三、关于</w:t>
      </w:r>
      <w:r>
        <w:rPr>
          <w:rFonts w:hint="default" w:ascii="Times New Roman" w:hAnsi="Times New Roman" w:eastAsia="仿宋_GB2312" w:cs="Times New Roman"/>
          <w:sz w:val="28"/>
          <w:szCs w:val="28"/>
        </w:rPr>
        <w:t>202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年度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预算</w:t>
      </w:r>
      <w:r>
        <w:rPr>
          <w:rFonts w:hint="eastAsia" w:ascii="仿宋_GB2312" w:hAnsi="仿宋_GB2312" w:eastAsia="仿宋_GB2312" w:cs="仿宋_GB2312"/>
          <w:sz w:val="28"/>
          <w:szCs w:val="28"/>
        </w:rPr>
        <w:t>绩效情况的说明</w:t>
      </w:r>
    </w:p>
    <w:p w14:paraId="124362A3">
      <w:pPr>
        <w:pStyle w:val="13"/>
        <w:spacing w:line="500" w:lineRule="exact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第四部分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名词解释</w:t>
      </w:r>
    </w:p>
    <w:p w14:paraId="177A544F">
      <w:pPr>
        <w:pStyle w:val="13"/>
        <w:spacing w:line="500" w:lineRule="exact"/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第</w:t>
      </w:r>
      <w:r>
        <w:rPr>
          <w:rFonts w:hint="eastAsia" w:hAnsi="黑体" w:cs="黑体"/>
          <w:b w:val="0"/>
          <w:bCs/>
          <w:sz w:val="28"/>
          <w:szCs w:val="28"/>
          <w:lang w:eastAsia="zh-CN"/>
        </w:rPr>
        <w:t>五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部分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hAnsi="黑体" w:cs="黑体"/>
          <w:b w:val="0"/>
          <w:bCs/>
          <w:sz w:val="28"/>
          <w:szCs w:val="28"/>
          <w:lang w:eastAsia="zh-CN"/>
        </w:rPr>
        <w:t>附件</w:t>
      </w:r>
    </w:p>
    <w:p w14:paraId="2E4888CF">
      <w:pPr>
        <w:pStyle w:val="13"/>
        <w:spacing w:line="500" w:lineRule="exact"/>
        <w:rPr>
          <w:rFonts w:hint="eastAsia" w:ascii="黑体" w:hAnsi="黑体" w:eastAsia="黑体" w:cs="黑体"/>
          <w:b w:val="0"/>
          <w:bCs/>
          <w:sz w:val="28"/>
          <w:szCs w:val="28"/>
        </w:rPr>
      </w:pPr>
    </w:p>
    <w:p w14:paraId="4DA4B29C">
      <w:pPr>
        <w:jc w:val="center"/>
        <w:rPr>
          <w:sz w:val="72"/>
          <w:szCs w:val="72"/>
        </w:rPr>
      </w:pPr>
    </w:p>
    <w:p w14:paraId="5BBECDA0">
      <w:pPr>
        <w:jc w:val="center"/>
        <w:rPr>
          <w:sz w:val="72"/>
          <w:szCs w:val="72"/>
        </w:rPr>
      </w:pPr>
    </w:p>
    <w:p w14:paraId="58774FFE">
      <w:pPr>
        <w:jc w:val="center"/>
        <w:rPr>
          <w:sz w:val="72"/>
          <w:szCs w:val="72"/>
        </w:rPr>
      </w:pPr>
    </w:p>
    <w:p w14:paraId="6DC1DF0A">
      <w:pPr>
        <w:jc w:val="center"/>
        <w:rPr>
          <w:sz w:val="72"/>
          <w:szCs w:val="72"/>
        </w:rPr>
      </w:pPr>
    </w:p>
    <w:p w14:paraId="7F1C08C5">
      <w:pPr>
        <w:rPr>
          <w:rFonts w:hint="eastAsia" w:ascii="方正小标宋_GBK" w:hAnsi="方正小标宋_GBK" w:eastAsia="方正小标宋_GBK" w:cs="方正小标宋_GBK"/>
          <w:sz w:val="72"/>
          <w:szCs w:val="72"/>
        </w:rPr>
      </w:pPr>
    </w:p>
    <w:p w14:paraId="3DE52595">
      <w:pPr>
        <w:pStyle w:val="13"/>
        <w:jc w:val="center"/>
        <w:rPr>
          <w:rFonts w:hint="eastAsia" w:ascii="方正小标宋_GBK" w:hAnsi="方正小标宋_GBK" w:eastAsia="方正小标宋_GBK" w:cs="方正小标宋_GBK"/>
          <w:sz w:val="84"/>
          <w:szCs w:val="84"/>
        </w:rPr>
      </w:pPr>
      <w:r>
        <w:rPr>
          <w:rFonts w:hint="eastAsia" w:ascii="方正小标宋_GBK" w:hAnsi="方正小标宋_GBK" w:eastAsia="方正小标宋_GBK" w:cs="方正小标宋_GBK"/>
          <w:sz w:val="84"/>
          <w:szCs w:val="84"/>
        </w:rPr>
        <w:t xml:space="preserve">第一部分 </w:t>
      </w:r>
    </w:p>
    <w:p w14:paraId="1FF649EB">
      <w:pPr>
        <w:pStyle w:val="13"/>
        <w:jc w:val="center"/>
        <w:rPr>
          <w:rFonts w:hint="eastAsia" w:ascii="方正小标宋_GBK" w:hAnsi="方正小标宋_GBK" w:eastAsia="方正小标宋_GBK" w:cs="方正小标宋_GBK"/>
          <w:sz w:val="84"/>
          <w:szCs w:val="84"/>
        </w:rPr>
      </w:pPr>
    </w:p>
    <w:p w14:paraId="425B9DB1">
      <w:pPr>
        <w:pStyle w:val="13"/>
        <w:jc w:val="center"/>
        <w:rPr>
          <w:rFonts w:hint="eastAsia" w:ascii="方正小标宋_GBK" w:hAnsi="方正小标宋_GBK" w:eastAsia="方正小标宋_GBK" w:cs="方正小标宋_GBK"/>
          <w:sz w:val="84"/>
          <w:szCs w:val="84"/>
        </w:rPr>
      </w:pPr>
      <w:r>
        <w:rPr>
          <w:rFonts w:hint="eastAsia" w:ascii="方正小标宋_GBK" w:hAnsi="方正小标宋_GBK" w:eastAsia="方正小标宋_GBK" w:cs="方正小标宋_GBK"/>
          <w:sz w:val="84"/>
          <w:szCs w:val="84"/>
          <w:lang w:eastAsia="zh-CN"/>
        </w:rPr>
        <w:t>沅江市档案馆</w:t>
      </w:r>
      <w:r>
        <w:rPr>
          <w:rFonts w:hint="eastAsia" w:ascii="方正小标宋_GBK" w:hAnsi="方正小标宋_GBK" w:eastAsia="方正小标宋_GBK" w:cs="方正小标宋_GBK"/>
          <w:sz w:val="84"/>
          <w:szCs w:val="84"/>
        </w:rPr>
        <w:t>概况</w:t>
      </w:r>
    </w:p>
    <w:p w14:paraId="55A031A7">
      <w:pPr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</w:p>
    <w:p w14:paraId="108C0D63">
      <w:pPr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</w:p>
    <w:p w14:paraId="3BF430DD">
      <w:pPr>
        <w:jc w:val="center"/>
        <w:rPr>
          <w:sz w:val="72"/>
          <w:szCs w:val="72"/>
        </w:rPr>
      </w:pPr>
    </w:p>
    <w:p w14:paraId="2F518CA8">
      <w:pPr>
        <w:jc w:val="both"/>
        <w:rPr>
          <w:sz w:val="72"/>
          <w:szCs w:val="72"/>
        </w:rPr>
      </w:pPr>
    </w:p>
    <w:p w14:paraId="390EF67B">
      <w:pPr>
        <w:pStyle w:val="8"/>
      </w:pPr>
    </w:p>
    <w:p w14:paraId="0AEDC08B">
      <w:pPr>
        <w:pStyle w:val="14"/>
        <w:numPr>
          <w:ilvl w:val="0"/>
          <w:numId w:val="1"/>
        </w:numPr>
        <w:ind w:firstLineChars="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部门职责</w:t>
      </w:r>
    </w:p>
    <w:p w14:paraId="57427381">
      <w:pPr>
        <w:pStyle w:val="2"/>
        <w:tabs>
          <w:tab w:val="left" w:pos="3864"/>
          <w:tab w:val="left" w:pos="6248"/>
          <w:tab w:val="left" w:pos="7386"/>
        </w:tabs>
        <w:overflowPunct w:val="0"/>
        <w:spacing w:before="1" w:line="360" w:lineRule="auto"/>
        <w:ind w:left="420" w:leftChars="200" w:right="420" w:firstLine="659" w:firstLineChars="206"/>
        <w:rPr>
          <w:rFonts w:hint="eastAsia" w:ascii="仿宋" w:hAnsi="仿宋" w:eastAsia="仿宋" w:cs="仿宋"/>
        </w:rPr>
      </w:pPr>
      <w:bookmarkStart w:id="0" w:name="AGENCY_NAME_TITLE3"/>
      <w:r>
        <w:rPr>
          <w:rFonts w:hint="eastAsia" w:ascii="仿宋" w:hAnsi="仿宋" w:eastAsia="仿宋" w:cs="仿宋"/>
        </w:rPr>
        <w:t>沅江市档案馆</w:t>
      </w:r>
      <w:bookmarkEnd w:id="0"/>
      <w:r>
        <w:rPr>
          <w:rFonts w:hint="eastAsia" w:ascii="仿宋" w:hAnsi="仿宋" w:eastAsia="仿宋" w:cs="仿宋"/>
        </w:rPr>
        <w:t>的主要职责是：</w:t>
      </w:r>
    </w:p>
    <w:p w14:paraId="459581E7">
      <w:pPr>
        <w:pStyle w:val="2"/>
        <w:tabs>
          <w:tab w:val="left" w:pos="3864"/>
          <w:tab w:val="left" w:pos="6248"/>
          <w:tab w:val="left" w:pos="7386"/>
        </w:tabs>
        <w:overflowPunct w:val="0"/>
        <w:spacing w:before="1" w:line="360" w:lineRule="auto"/>
        <w:ind w:left="420" w:leftChars="200" w:right="420" w:firstLine="659" w:firstLineChars="206"/>
        <w:rPr>
          <w:rFonts w:hint="eastAsia" w:ascii="仿宋" w:hAnsi="仿宋" w:eastAsia="仿宋" w:cs="仿宋"/>
        </w:rPr>
      </w:pPr>
      <w:bookmarkStart w:id="1" w:name="FUNCRESP"/>
      <w:r>
        <w:rPr>
          <w:rFonts w:hint="eastAsia" w:ascii="仿宋" w:hAnsi="仿宋" w:eastAsia="仿宋" w:cs="仿宋"/>
        </w:rPr>
        <w:t>1、集中统一管理市、乡镇单位的重要档案资料，保守党和国家的机密，维护档案将被的、齐全，推进档案工作的科学化管理和现代化建设。</w:t>
      </w:r>
    </w:p>
    <w:p w14:paraId="213635BC">
      <w:pPr>
        <w:pStyle w:val="2"/>
        <w:tabs>
          <w:tab w:val="left" w:pos="3864"/>
          <w:tab w:val="left" w:pos="6248"/>
          <w:tab w:val="left" w:pos="7386"/>
        </w:tabs>
        <w:overflowPunct w:val="0"/>
        <w:spacing w:before="1" w:line="360" w:lineRule="auto"/>
        <w:ind w:left="420" w:leftChars="200" w:right="420" w:firstLine="659" w:firstLineChars="206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2、负责接收、征集、整理、保管市委、市人民政府和市直机关、团体等单位的重要档案资料，做好档案编研工作，收集失散的有保存价值的档案和史料。</w:t>
      </w:r>
    </w:p>
    <w:p w14:paraId="68BDF22C">
      <w:pPr>
        <w:pStyle w:val="2"/>
        <w:tabs>
          <w:tab w:val="left" w:pos="3864"/>
          <w:tab w:val="left" w:pos="6248"/>
          <w:tab w:val="left" w:pos="7386"/>
        </w:tabs>
        <w:overflowPunct w:val="0"/>
        <w:spacing w:before="1" w:line="360" w:lineRule="auto"/>
        <w:ind w:left="420" w:leftChars="200" w:right="420" w:firstLine="659" w:firstLineChars="206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3、负责市级档案馆网点建设，协调指导全市各类档案馆的接收范围，制定档案馆向社会开放档案的办法和控制范围。</w:t>
      </w:r>
    </w:p>
    <w:p w14:paraId="5779BC43">
      <w:pPr>
        <w:pStyle w:val="2"/>
        <w:tabs>
          <w:tab w:val="left" w:pos="3864"/>
          <w:tab w:val="left" w:pos="6248"/>
          <w:tab w:val="left" w:pos="7386"/>
        </w:tabs>
        <w:overflowPunct w:val="0"/>
        <w:spacing w:before="1" w:line="360" w:lineRule="auto"/>
        <w:ind w:left="420" w:leftChars="200" w:right="420" w:firstLine="659" w:firstLineChars="206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4、指导全市档案信息资源开发利用和服务工作，搞好档案信息网络建设。</w:t>
      </w:r>
    </w:p>
    <w:p w14:paraId="78A8CBF7">
      <w:pPr>
        <w:pStyle w:val="2"/>
        <w:tabs>
          <w:tab w:val="left" w:pos="3864"/>
          <w:tab w:val="left" w:pos="6248"/>
          <w:tab w:val="left" w:pos="7386"/>
        </w:tabs>
        <w:overflowPunct w:val="0"/>
        <w:spacing w:before="1" w:line="360" w:lineRule="auto"/>
        <w:ind w:left="420" w:leftChars="200" w:right="420" w:firstLine="659" w:firstLineChars="206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5、承办市委、市人民政府和上级业务主管部门交办的其他工作。</w:t>
      </w:r>
      <w:bookmarkEnd w:id="1"/>
    </w:p>
    <w:p w14:paraId="770878FE">
      <w:pPr>
        <w:widowControl/>
        <w:spacing w:line="600" w:lineRule="exact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二、机构设置及决算单位构成</w:t>
      </w:r>
    </w:p>
    <w:p w14:paraId="76A38A44">
      <w:pPr>
        <w:pStyle w:val="2"/>
        <w:tabs>
          <w:tab w:val="left" w:pos="3864"/>
          <w:tab w:val="left" w:pos="6248"/>
          <w:tab w:val="left" w:pos="7386"/>
        </w:tabs>
        <w:overflowPunct w:val="0"/>
        <w:spacing w:before="1" w:line="360" w:lineRule="auto"/>
        <w:ind w:left="420" w:leftChars="200" w:right="420" w:firstLine="662" w:firstLineChars="206"/>
        <w:rPr>
          <w:rFonts w:hint="eastAsia" w:ascii="楷体" w:hAnsi="楷体" w:eastAsia="楷体" w:cs="仿宋"/>
          <w:b/>
        </w:rPr>
      </w:pPr>
      <w:r>
        <w:rPr>
          <w:rFonts w:hint="eastAsia" w:ascii="楷体" w:hAnsi="楷体" w:eastAsia="楷体" w:cs="仿宋"/>
          <w:b/>
        </w:rPr>
        <w:t>（一）内设机构设置</w:t>
      </w:r>
    </w:p>
    <w:p w14:paraId="7BB12886">
      <w:pPr>
        <w:pStyle w:val="2"/>
        <w:tabs>
          <w:tab w:val="left" w:pos="3864"/>
          <w:tab w:val="left" w:pos="6248"/>
          <w:tab w:val="left" w:pos="7386"/>
        </w:tabs>
        <w:overflowPunct w:val="0"/>
        <w:spacing w:before="1" w:line="360" w:lineRule="auto"/>
        <w:ind w:left="420" w:leftChars="200" w:right="420" w:firstLine="659" w:firstLineChars="206"/>
        <w:rPr>
          <w:rFonts w:hint="eastAsia" w:ascii="仿宋" w:hAnsi="仿宋" w:eastAsia="仿宋" w:cs="仿宋"/>
        </w:rPr>
      </w:pPr>
      <w:bookmarkStart w:id="2" w:name="ORG_SET"/>
      <w:r>
        <w:rPr>
          <w:rFonts w:hint="eastAsia" w:ascii="仿宋" w:hAnsi="仿宋" w:eastAsia="仿宋" w:cs="仿宋"/>
        </w:rPr>
        <w:t>根据编委核定，我馆内设股室4个，内设处室分别是办公室、接收保管股、利用编研股、信息技术股。</w:t>
      </w:r>
      <w:bookmarkEnd w:id="2"/>
    </w:p>
    <w:p w14:paraId="11423E41">
      <w:pPr>
        <w:pStyle w:val="2"/>
        <w:numPr>
          <w:ilvl w:val="0"/>
          <w:numId w:val="2"/>
        </w:numPr>
        <w:suppressAutoHyphens/>
        <w:spacing w:line="360" w:lineRule="auto"/>
        <w:ind w:left="420" w:leftChars="200" w:right="481" w:rightChars="229" w:firstLine="658"/>
        <w:rPr>
          <w:rFonts w:hint="eastAsia" w:ascii="楷体" w:hAnsi="楷体" w:eastAsia="楷体" w:cs="仿宋"/>
          <w:b/>
          <w:kern w:val="0"/>
          <w:lang w:bidi="zh-CN"/>
        </w:rPr>
      </w:pPr>
      <w:r>
        <w:rPr>
          <w:rFonts w:hint="eastAsia" w:ascii="楷体" w:hAnsi="楷体" w:eastAsia="楷体" w:cs="仿宋"/>
          <w:b/>
          <w:kern w:val="0"/>
          <w:lang w:bidi="zh-CN"/>
        </w:rPr>
        <w:t>决算单位构成</w:t>
      </w:r>
    </w:p>
    <w:p w14:paraId="4F60716C">
      <w:pPr>
        <w:pStyle w:val="2"/>
        <w:tabs>
          <w:tab w:val="left" w:pos="3864"/>
          <w:tab w:val="left" w:pos="6248"/>
          <w:tab w:val="left" w:pos="7386"/>
        </w:tabs>
        <w:overflowPunct w:val="0"/>
        <w:spacing w:before="1" w:line="360" w:lineRule="auto"/>
        <w:ind w:left="420" w:leftChars="200" w:right="420" w:firstLine="659" w:firstLineChars="206"/>
        <w:rPr>
          <w:rFonts w:ascii="仿宋" w:hAnsi="仿宋" w:eastAsia="仿宋" w:cs="仿宋"/>
        </w:rPr>
        <w:sectPr>
          <w:pgSz w:w="11906" w:h="16838"/>
          <w:pgMar w:top="720" w:right="720" w:bottom="720" w:left="720" w:header="851" w:footer="992" w:gutter="0"/>
          <w:pgNumType w:fmt="numberInDash"/>
          <w:cols w:space="720" w:num="1"/>
          <w:docGrid w:type="lines" w:linePitch="319" w:charSpace="0"/>
        </w:sectPr>
      </w:pPr>
      <w:bookmarkStart w:id="3" w:name="DEPT_COMPOSE"/>
      <w:r>
        <w:rPr>
          <w:rFonts w:hint="eastAsia" w:ascii="仿宋" w:hAnsi="仿宋" w:eastAsia="仿宋" w:cs="仿宋"/>
        </w:rPr>
        <w:t>沅江市档案馆202</w:t>
      </w:r>
      <w:r>
        <w:rPr>
          <w:rFonts w:hint="eastAsia" w:ascii="仿宋" w:hAnsi="仿宋" w:eastAsia="仿宋" w:cs="仿宋"/>
          <w:lang w:val="en-US" w:eastAsia="zh-CN"/>
        </w:rPr>
        <w:t>3</w:t>
      </w:r>
      <w:r>
        <w:rPr>
          <w:rFonts w:hint="eastAsia" w:ascii="仿宋" w:hAnsi="仿宋" w:eastAsia="仿宋" w:cs="仿宋"/>
        </w:rPr>
        <w:t>年部门决算汇总公开单位构成包括：沅江市档案馆本级。</w:t>
      </w:r>
      <w:bookmarkEnd w:id="3"/>
    </w:p>
    <w:p w14:paraId="635C0952">
      <w:pPr>
        <w:jc w:val="center"/>
        <w:rPr>
          <w:rFonts w:ascii="黑体" w:hAnsi="黑体" w:eastAsia="黑体"/>
          <w:sz w:val="28"/>
          <w:szCs w:val="28"/>
        </w:rPr>
      </w:pPr>
    </w:p>
    <w:p w14:paraId="08B87170">
      <w:pPr>
        <w:jc w:val="center"/>
        <w:rPr>
          <w:sz w:val="72"/>
          <w:szCs w:val="72"/>
        </w:rPr>
      </w:pPr>
    </w:p>
    <w:p w14:paraId="6060F7E6">
      <w:pPr>
        <w:jc w:val="center"/>
        <w:rPr>
          <w:sz w:val="72"/>
          <w:szCs w:val="72"/>
        </w:rPr>
      </w:pPr>
    </w:p>
    <w:p w14:paraId="63702B57">
      <w:pPr>
        <w:pStyle w:val="13"/>
        <w:jc w:val="center"/>
        <w:rPr>
          <w:rFonts w:hint="eastAsia" w:ascii="方正小标宋_GBK" w:hAnsi="方正小标宋_GBK" w:eastAsia="方正小标宋_GBK" w:cs="方正小标宋_GBK"/>
          <w:sz w:val="84"/>
          <w:szCs w:val="84"/>
        </w:rPr>
      </w:pPr>
    </w:p>
    <w:p w14:paraId="3AB58A27">
      <w:pPr>
        <w:pStyle w:val="13"/>
        <w:jc w:val="center"/>
        <w:rPr>
          <w:rFonts w:hint="eastAsia" w:ascii="方正小标宋_GBK" w:hAnsi="方正小标宋_GBK" w:eastAsia="方正小标宋_GBK" w:cs="方正小标宋_GBK"/>
          <w:sz w:val="84"/>
          <w:szCs w:val="84"/>
        </w:rPr>
      </w:pPr>
      <w:r>
        <w:rPr>
          <w:rFonts w:hint="eastAsia" w:ascii="方正小标宋_GBK" w:hAnsi="方正小标宋_GBK" w:eastAsia="方正小标宋_GBK" w:cs="方正小标宋_GBK"/>
          <w:sz w:val="84"/>
          <w:szCs w:val="84"/>
        </w:rPr>
        <w:t>第二部分</w:t>
      </w:r>
    </w:p>
    <w:p w14:paraId="44C82B83">
      <w:pPr>
        <w:pStyle w:val="13"/>
        <w:jc w:val="center"/>
        <w:rPr>
          <w:rFonts w:hint="eastAsia" w:ascii="方正小标宋_GBK" w:hAnsi="方正小标宋_GBK" w:eastAsia="方正小标宋_GBK" w:cs="方正小标宋_GBK"/>
          <w:sz w:val="84"/>
          <w:szCs w:val="84"/>
        </w:rPr>
      </w:pPr>
    </w:p>
    <w:p w14:paraId="0C43F910">
      <w:pPr>
        <w:pStyle w:val="13"/>
        <w:jc w:val="center"/>
        <w:rPr>
          <w:rFonts w:hint="eastAsia" w:ascii="方正小标宋_GBK" w:hAnsi="方正小标宋_GBK" w:eastAsia="方正小标宋_GBK" w:cs="方正小标宋_GBK"/>
          <w:sz w:val="84"/>
          <w:szCs w:val="84"/>
        </w:rPr>
      </w:pPr>
      <w:r>
        <w:rPr>
          <w:rFonts w:hint="eastAsia" w:ascii="方正小标宋_GBK" w:hAnsi="方正小标宋_GBK" w:eastAsia="方正小标宋_GBK" w:cs="方正小标宋_GBK"/>
          <w:sz w:val="84"/>
          <w:szCs w:val="84"/>
        </w:rPr>
        <w:t>部门决算表</w:t>
      </w:r>
    </w:p>
    <w:p w14:paraId="33738D2A">
      <w:pPr>
        <w:jc w:val="both"/>
        <w:rPr>
          <w:sz w:val="72"/>
          <w:szCs w:val="72"/>
        </w:rPr>
      </w:pPr>
    </w:p>
    <w:p w14:paraId="78E1CB52">
      <w:pPr>
        <w:pStyle w:val="8"/>
        <w:rPr>
          <w:rFonts w:hint="eastAsia" w:ascii="华文中宋" w:hAnsi="华文中宋" w:eastAsia="华文中宋" w:cs="华文中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3720CEA8">
      <w:pPr>
        <w:jc w:val="left"/>
        <w:rPr>
          <w:rFonts w:asciiTheme="minorEastAsia" w:hAnsiTheme="minorEastAsia"/>
          <w:sz w:val="32"/>
          <w:szCs w:val="32"/>
        </w:rPr>
      </w:pPr>
    </w:p>
    <w:p w14:paraId="54734049">
      <w:pPr>
        <w:pStyle w:val="8"/>
        <w:rPr>
          <w:rFonts w:asciiTheme="minorEastAsia" w:hAnsiTheme="minorEastAsia"/>
          <w:sz w:val="32"/>
          <w:szCs w:val="32"/>
        </w:rPr>
      </w:pPr>
    </w:p>
    <w:p w14:paraId="10F94BBC">
      <w:pPr>
        <w:pStyle w:val="4"/>
        <w:rPr>
          <w:rFonts w:asciiTheme="minorEastAsia" w:hAnsiTheme="minorEastAsia"/>
          <w:sz w:val="32"/>
          <w:szCs w:val="32"/>
        </w:rPr>
      </w:pPr>
    </w:p>
    <w:p w14:paraId="4B6E6834">
      <w:pPr>
        <w:rPr>
          <w:rFonts w:asciiTheme="minorEastAsia" w:hAnsiTheme="minorEastAsia"/>
          <w:sz w:val="32"/>
          <w:szCs w:val="32"/>
        </w:rPr>
      </w:pPr>
    </w:p>
    <w:p w14:paraId="3C928D13">
      <w:pPr>
        <w:pStyle w:val="8"/>
        <w:rPr>
          <w:rFonts w:asciiTheme="minorEastAsia" w:hAnsiTheme="minorEastAsia"/>
          <w:sz w:val="32"/>
          <w:szCs w:val="32"/>
        </w:rPr>
      </w:pPr>
    </w:p>
    <w:p w14:paraId="0C41DE73">
      <w:pPr>
        <w:pStyle w:val="4"/>
        <w:rPr>
          <w:rFonts w:asciiTheme="minorEastAsia" w:hAnsiTheme="minorEastAsia"/>
          <w:sz w:val="32"/>
          <w:szCs w:val="32"/>
        </w:rPr>
      </w:pPr>
    </w:p>
    <w:p w14:paraId="4A6DF0BD">
      <w:pPr>
        <w:rPr>
          <w:rFonts w:asciiTheme="minorEastAsia" w:hAnsiTheme="minorEastAsia"/>
          <w:sz w:val="32"/>
          <w:szCs w:val="32"/>
        </w:rPr>
      </w:pPr>
    </w:p>
    <w:p w14:paraId="27582AC2">
      <w:pPr>
        <w:pStyle w:val="8"/>
        <w:rPr>
          <w:rFonts w:asciiTheme="minorEastAsia" w:hAnsiTheme="minorEastAsia"/>
          <w:sz w:val="32"/>
          <w:szCs w:val="32"/>
        </w:rPr>
      </w:pPr>
    </w:p>
    <w:p w14:paraId="08FA234B">
      <w:pPr>
        <w:pStyle w:val="4"/>
        <w:rPr>
          <w:rFonts w:asciiTheme="minorEastAsia" w:hAnsiTheme="minorEastAsia"/>
          <w:sz w:val="32"/>
          <w:szCs w:val="32"/>
        </w:rPr>
      </w:pPr>
    </w:p>
    <w:p w14:paraId="0F0B99FB">
      <w:pPr>
        <w:rPr>
          <w:rFonts w:asciiTheme="minorEastAsia" w:hAnsiTheme="minorEastAsia"/>
          <w:sz w:val="32"/>
          <w:szCs w:val="32"/>
        </w:rPr>
      </w:pPr>
    </w:p>
    <w:tbl>
      <w:tblPr>
        <w:tblStyle w:val="9"/>
        <w:tblW w:w="106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0"/>
        <w:gridCol w:w="707"/>
        <w:gridCol w:w="928"/>
        <w:gridCol w:w="3579"/>
        <w:gridCol w:w="707"/>
        <w:gridCol w:w="929"/>
      </w:tblGrid>
      <w:tr w14:paraId="01C48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6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AA0C3">
            <w:pPr>
              <w:pStyle w:val="8"/>
              <w:ind w:firstLine="11280" w:firstLineChars="4700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收入支出决算总表</w:t>
            </w:r>
          </w:p>
          <w:p w14:paraId="4C8C6800">
            <w:pPr>
              <w:pStyle w:val="8"/>
              <w:ind w:firstLine="9400" w:firstLineChars="470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公开01表</w:t>
            </w:r>
          </w:p>
          <w:p w14:paraId="3A9D59F3">
            <w:pPr>
              <w:pStyle w:val="8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部门：沅江市档案馆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 w14:paraId="32B1D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C3FA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收入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EBB6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支出</w:t>
            </w:r>
          </w:p>
        </w:tc>
      </w:tr>
      <w:tr w14:paraId="702C9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1C61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FC80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BB82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0360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DC9B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B02C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金额</w:t>
            </w:r>
          </w:p>
        </w:tc>
      </w:tr>
      <w:tr w14:paraId="7CE03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19BA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栏次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98E0A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440B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2404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栏次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1318E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8164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 w14:paraId="2707C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60FFE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一、一般公共预算财政拨款收入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8562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82188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215.75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F8DBD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一、一般公共服务支出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EF6E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D8CE6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204.60</w:t>
            </w:r>
          </w:p>
        </w:tc>
      </w:tr>
      <w:tr w14:paraId="762FF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70C3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二、政府性基金预算财政拨款收入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2E51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3102D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DB349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二、外交支出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AE9F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3A01F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7E2B3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F755B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三、国有资本经营预算财政拨款收入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777C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E04C1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A4C79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三、国防支出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2735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8A4E3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3281E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66356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四、上级补助收入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7F5B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9B954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789C3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四、公共安全支出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9A90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2C33C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323B7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EAE04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五、事业收入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0866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E5A38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13A9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五、教育支出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E1E8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2078E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47F43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EC624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六、经营收入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1545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02441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E5F5C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六、科学技术支出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E11A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6AE9F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3C310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7B5A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七、附属单位上缴收入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5615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1813B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7C135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七、文化旅游体育与传媒支出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BE47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363B4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50A9F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249CF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八、其他收入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E9F2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DC07C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7110D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八、社会保障和就业支出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F860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51A62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13E3E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8AF98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58C6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45B27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5A3CF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九、卫生健康支出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29DD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0AF23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</w:tr>
      <w:tr w14:paraId="23A64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4C99A9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BBBE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11017B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2F7CC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十、节能环保支出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9277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836BD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1B0C4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9071D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9340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4A341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5DF20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十一、城乡社区支出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3CF2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CD123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59143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6BDC16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9926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982675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A852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十二、农林水支出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5C78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1F147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0EDA7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816029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CAFD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7BF570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F8411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十三、交通运输支出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4941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6FF28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0151F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0116C9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E739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555A9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6F1D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十四、资源勘探工业信息等支出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ABCD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9D1FD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3BFA8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654145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764F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250AB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85EC4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十五、商业服务业等支出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4900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2C6BE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4FFE0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F8D479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0839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3A1C0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DAF55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十六、金融支出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87C1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FEDBD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437AA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95E132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479F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B6893D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3438B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十七、援助其他地区支出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FA09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D92AD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2FFF9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AF4250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6C40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090AC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DA047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十八、自然资源海洋气象等支出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ECB5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090A0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33D3C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D5BECA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CBE2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4EC4B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14040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十九、住房保障支出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7626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040ED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10.72</w:t>
            </w:r>
          </w:p>
        </w:tc>
      </w:tr>
      <w:tr w14:paraId="4C152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D7DDFF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F31B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368E5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E143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二十、粮油物资储备支出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03FA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64B2E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11EFD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FF0AF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A4EB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106D6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721D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二十一、国有资本经营预算支出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A856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EF79C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194C6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6E48AC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76FE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BE2EAE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51F46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二十二、灾害防治及应急管理支出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992A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1F217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6AADA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30DE2E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F868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6D66E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89C08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二十三、其他支出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BA82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A86F1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</w:t>
            </w:r>
          </w:p>
        </w:tc>
      </w:tr>
      <w:tr w14:paraId="691FE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B10F52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16C4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5D793A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0BC35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二十四、债务还本支出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2CFB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29034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6C628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5E6FD6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6DB2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F1859E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EE993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二十五、债务付息支出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54FF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A92F5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49511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6F8AC3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1752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174311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C922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二十六、抗疫特别国债安排的支出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4917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C8E87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2414B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FF35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本年收入合计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2DFE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8B42C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216.05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142B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本年支出合计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B551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8E739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216.05</w:t>
            </w:r>
          </w:p>
        </w:tc>
      </w:tr>
      <w:tr w14:paraId="3B0CB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BC216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使用非财政拨款结余（含专用结余）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21DA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EDA19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69DBF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结余分配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8C6D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24356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63705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67A10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年初结转和结余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971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83527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6ADB2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年末结转和结余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B6BD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5E9B8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 w14:paraId="33CE3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B98087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CA5E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B5810A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F5A395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3399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25E075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4B7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4664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853B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4EBA3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216.05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1C5B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AE9E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7F0FE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216.05</w:t>
            </w:r>
          </w:p>
        </w:tc>
      </w:tr>
    </w:tbl>
    <w:p w14:paraId="6741F665">
      <w:pPr>
        <w:pStyle w:val="8"/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 w14:paraId="385CC832">
      <w:pPr>
        <w:widowControl/>
        <w:jc w:val="lef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 xml:space="preserve"> </w:t>
      </w:r>
    </w:p>
    <w:tbl>
      <w:tblPr>
        <w:tblStyle w:val="9"/>
        <w:tblpPr w:leftFromText="180" w:rightFromText="180" w:vertAnchor="text" w:horzAnchor="page" w:tblpX="707" w:tblpY="79"/>
        <w:tblOverlap w:val="never"/>
        <w:tblW w:w="151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566"/>
        <w:gridCol w:w="484"/>
        <w:gridCol w:w="2469"/>
        <w:gridCol w:w="1609"/>
        <w:gridCol w:w="1881"/>
        <w:gridCol w:w="1695"/>
        <w:gridCol w:w="1395"/>
        <w:gridCol w:w="1485"/>
        <w:gridCol w:w="1470"/>
        <w:gridCol w:w="1554"/>
      </w:tblGrid>
      <w:tr w14:paraId="64A44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1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B1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收入决算表</w:t>
            </w:r>
          </w:p>
          <w:p w14:paraId="1C47FF99">
            <w:pPr>
              <w:pStyle w:val="8"/>
              <w:ind w:firstLine="13800" w:firstLineChars="690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公开02表</w:t>
            </w:r>
          </w:p>
          <w:p w14:paraId="17F68A85">
            <w:pPr>
              <w:pStyle w:val="8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部门：沅江市档案馆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 w14:paraId="64C2A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20" w:type="dxa"/>
            <w:gridSpan w:val="3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CA31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科目代码</w:t>
            </w: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F8BA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609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EF9C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本年收入合计</w:t>
            </w:r>
          </w:p>
        </w:tc>
        <w:tc>
          <w:tcPr>
            <w:tcW w:w="1881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EB5B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财政拨款收入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BA4E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上级补助收入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D27C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事业收入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A806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经营收入</w:t>
            </w:r>
          </w:p>
        </w:tc>
        <w:tc>
          <w:tcPr>
            <w:tcW w:w="1470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311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附属单位上缴收入</w:t>
            </w:r>
          </w:p>
        </w:tc>
        <w:tc>
          <w:tcPr>
            <w:tcW w:w="1554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AED4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其他收入</w:t>
            </w:r>
          </w:p>
        </w:tc>
      </w:tr>
      <w:tr w14:paraId="451FD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20" w:type="dxa"/>
            <w:gridSpan w:val="3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C4609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9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82D4E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9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2C7F8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2C04F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94A2A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0FA1A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47E7A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59496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4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A94FC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7AF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20" w:type="dxa"/>
            <w:gridSpan w:val="3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91FB2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9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C7151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9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8AA92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29EF4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E3BCC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50D11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48900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F351C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4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230E7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CA8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20" w:type="dxa"/>
            <w:gridSpan w:val="3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E7730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9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5F096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9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4C9D6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E1D37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F3786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587C4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BBC83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CE762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4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40690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AA5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70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ED9B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B7F6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款</w:t>
            </w:r>
          </w:p>
        </w:tc>
        <w:tc>
          <w:tcPr>
            <w:tcW w:w="484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CF76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1840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栏次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59F1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82A4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A06E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1EFB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25CC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28ED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0E96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56003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07E0F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6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581F2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217DF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FCEA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6B0C8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216.05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E1204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215.75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F04E3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A16F9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89088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154EF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5A598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</w:t>
            </w:r>
          </w:p>
        </w:tc>
      </w:tr>
      <w:tr w14:paraId="39D7D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20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6BE1A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2012602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41ED2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一般行政管理事务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B8D2A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53.42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3B883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53.42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C9C18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85566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9BFBD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3754C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64F95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17C87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20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98BE1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2012601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6DFA7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13B40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151.18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DE62F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151.17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8748D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B278F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7409D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D2F93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52A6C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5458E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20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21441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2100717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6A891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计划生育服务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64DDD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088DF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E3C0A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9D02D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2F6E5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933C5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848D9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325FC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20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81EB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2210201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854BE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A10E9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10.72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20615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84EB8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130B3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FCBA9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F8EF5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F8EE7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79DBB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20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16ED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2299999</w:t>
            </w:r>
          </w:p>
        </w:tc>
        <w:tc>
          <w:tcPr>
            <w:tcW w:w="246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4634A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ADFA9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397F0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BB364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ED93F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8C801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6B8E4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D5BF7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</w:t>
            </w:r>
          </w:p>
        </w:tc>
      </w:tr>
      <w:tr w14:paraId="7A6E1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1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42BF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注：1.本表依据《收入决算表》（财决03表）进行批复。</w:t>
            </w:r>
          </w:p>
        </w:tc>
      </w:tr>
      <w:tr w14:paraId="1D974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1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46AF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2.本表含一般公共预算财政拨款、政府性基金预算财政拨款和国有资本经营预算财政拨款。</w:t>
            </w:r>
          </w:p>
        </w:tc>
      </w:tr>
      <w:tr w14:paraId="6B069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1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BF49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3.本表批复到项级科目。</w:t>
            </w:r>
          </w:p>
        </w:tc>
      </w:tr>
      <w:tr w14:paraId="6F309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1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55B6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4.本表以“万元”为金额单位（保留两位小数）。</w:t>
            </w:r>
          </w:p>
        </w:tc>
      </w:tr>
      <w:tr w14:paraId="5ADF2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1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50F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AA4FE65">
      <w:pPr>
        <w:widowControl/>
        <w:jc w:val="lef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br w:type="page"/>
      </w:r>
    </w:p>
    <w:tbl>
      <w:tblPr>
        <w:tblStyle w:val="9"/>
        <w:tblW w:w="1518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598"/>
        <w:gridCol w:w="598"/>
        <w:gridCol w:w="2712"/>
        <w:gridCol w:w="1928"/>
        <w:gridCol w:w="1928"/>
        <w:gridCol w:w="1848"/>
        <w:gridCol w:w="1767"/>
        <w:gridCol w:w="1767"/>
        <w:gridCol w:w="1439"/>
      </w:tblGrid>
      <w:tr w14:paraId="2F734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18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2E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支出决算表</w:t>
            </w:r>
          </w:p>
          <w:p w14:paraId="7513B1D1">
            <w:pPr>
              <w:pStyle w:val="8"/>
              <w:ind w:firstLine="13800" w:firstLineChars="690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公开03表</w:t>
            </w:r>
          </w:p>
          <w:p w14:paraId="05BE5098">
            <w:pPr>
              <w:pStyle w:val="8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部门：沅江市档案馆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  <w:p w14:paraId="48CDBF45">
            <w:pPr>
              <w:pStyle w:val="8"/>
            </w:pPr>
          </w:p>
        </w:tc>
      </w:tr>
      <w:tr w14:paraId="3F9DD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4" w:type="dxa"/>
            <w:gridSpan w:val="3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AF42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科目代码</w:t>
            </w:r>
          </w:p>
        </w:tc>
        <w:tc>
          <w:tcPr>
            <w:tcW w:w="2712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4C73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927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16BC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本年支出合计</w:t>
            </w:r>
          </w:p>
        </w:tc>
        <w:tc>
          <w:tcPr>
            <w:tcW w:w="1927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282E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1848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0D3D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项目支出</w:t>
            </w:r>
          </w:p>
        </w:tc>
        <w:tc>
          <w:tcPr>
            <w:tcW w:w="1767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453A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上缴上级支出</w:t>
            </w:r>
          </w:p>
        </w:tc>
        <w:tc>
          <w:tcPr>
            <w:tcW w:w="1767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3079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经营支出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CE25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对附属单位补助支出</w:t>
            </w:r>
          </w:p>
        </w:tc>
      </w:tr>
      <w:tr w14:paraId="2C013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4" w:type="dxa"/>
            <w:gridSpan w:val="3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A3851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2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0806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2007E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6E390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DB6D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27816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C129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9AB89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DCC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4" w:type="dxa"/>
            <w:gridSpan w:val="3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79D91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2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E0F74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763B4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7FDF7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F30FE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D908C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7E58E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3BC96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FA7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4" w:type="dxa"/>
            <w:gridSpan w:val="3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C9322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2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4FC08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521AD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814C6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E5768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61025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D1DFA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0B599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656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8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D5F0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5EE3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款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CAFA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FD07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栏次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03EF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2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1DB4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A380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3B7C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8019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BE5D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09D70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8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7A672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24156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2D9BC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7C1F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78292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216.05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40286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162.63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22EA1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53.42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4A6A2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2AD2E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6202C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4AC35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94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FA95E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2012602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59D8F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一般行政管理事务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BFD43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53.42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8DDD8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02692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53.42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3512C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6F3DF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72E34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0595C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94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62D9C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2012601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F8FA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07734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151.17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E0271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151.17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5DF1F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80F46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36AFA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1394D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4B70E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94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0CF92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2100717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1D75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计划生育服务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42D2C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98AB7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59B59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EBD74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C09B5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F1C6D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582E7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94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DD227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2210201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AD3CD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5F2C6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10.72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CBED2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10.72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5319E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A32C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B3D9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B92F8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1C137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94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8C03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2299999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694CC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1B6BD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</w:t>
            </w:r>
          </w:p>
        </w:tc>
        <w:tc>
          <w:tcPr>
            <w:tcW w:w="192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AECF7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36BD8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68D86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FF5CB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9DA0B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10026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18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FA31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注：1.本表依据《支出决算表》（财决04表）进行批复。</w:t>
            </w:r>
          </w:p>
        </w:tc>
      </w:tr>
      <w:tr w14:paraId="58E5E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18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D2BC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2.本表含一般公共预算财政拨款、政府性基金预算财政拨款和国有资本经营预算财政拨款。</w:t>
            </w:r>
          </w:p>
        </w:tc>
      </w:tr>
      <w:tr w14:paraId="7BFE2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18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3DA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3.本表批复到项级科目。</w:t>
            </w:r>
          </w:p>
        </w:tc>
      </w:tr>
      <w:tr w14:paraId="57F42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18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6AE5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4.本表以“万元”为金额单位（保留两位小数）。</w:t>
            </w:r>
          </w:p>
        </w:tc>
      </w:tr>
    </w:tbl>
    <w:p w14:paraId="4DA1A9A5">
      <w:pPr>
        <w:pStyle w:val="8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</w:p>
    <w:p w14:paraId="496476C0">
      <w:pPr>
        <w:pStyle w:val="4"/>
      </w:pPr>
    </w:p>
    <w:p w14:paraId="2102C79A">
      <w:pPr>
        <w:widowControl/>
        <w:rPr>
          <w:rFonts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52204E3F">
      <w:pPr>
        <w:widowControl/>
        <w:jc w:val="both"/>
        <w:rPr>
          <w:rFonts w:ascii="Times New Roman" w:hAnsi="Times New Roman" w:eastAsia="方正小标宋_GBK" w:cs="Times New Roman"/>
          <w:color w:val="000000"/>
          <w:kern w:val="0"/>
          <w:sz w:val="36"/>
          <w:szCs w:val="21"/>
        </w:rPr>
      </w:pPr>
    </w:p>
    <w:p w14:paraId="24AC46E8">
      <w:pPr>
        <w:pStyle w:val="8"/>
        <w:rPr>
          <w:rFonts w:ascii="Times New Roman" w:hAnsi="Times New Roman" w:eastAsia="方正小标宋_GBK" w:cs="Times New Roman"/>
          <w:color w:val="000000"/>
          <w:kern w:val="0"/>
          <w:sz w:val="36"/>
          <w:szCs w:val="21"/>
        </w:rPr>
      </w:pPr>
    </w:p>
    <w:p w14:paraId="581DBFB5">
      <w:pPr>
        <w:pStyle w:val="4"/>
        <w:rPr>
          <w:rFonts w:ascii="Times New Roman" w:hAnsi="Times New Roman" w:eastAsia="方正小标宋_GBK" w:cs="Times New Roman"/>
          <w:color w:val="000000"/>
          <w:kern w:val="0"/>
          <w:sz w:val="36"/>
          <w:szCs w:val="21"/>
        </w:rPr>
      </w:pPr>
    </w:p>
    <w:p w14:paraId="10F9BBBD">
      <w:pPr>
        <w:rPr>
          <w:rFonts w:ascii="Times New Roman" w:hAnsi="Times New Roman" w:eastAsia="方正小标宋_GBK" w:cs="Times New Roman"/>
          <w:color w:val="000000"/>
          <w:kern w:val="0"/>
          <w:sz w:val="36"/>
          <w:szCs w:val="21"/>
        </w:rPr>
      </w:pPr>
    </w:p>
    <w:tbl>
      <w:tblPr>
        <w:tblStyle w:val="9"/>
        <w:tblW w:w="15315" w:type="dxa"/>
        <w:tblInd w:w="-1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5"/>
        <w:gridCol w:w="825"/>
        <w:gridCol w:w="1429"/>
        <w:gridCol w:w="4140"/>
        <w:gridCol w:w="553"/>
        <w:gridCol w:w="944"/>
        <w:gridCol w:w="1364"/>
        <w:gridCol w:w="1185"/>
        <w:gridCol w:w="1290"/>
      </w:tblGrid>
      <w:tr w14:paraId="37528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31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E2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财政拨款收入支出决算表</w:t>
            </w:r>
          </w:p>
          <w:p w14:paraId="5A7FD903">
            <w:pPr>
              <w:pStyle w:val="8"/>
              <w:ind w:firstLine="13800" w:firstLineChars="690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公开04表</w:t>
            </w:r>
          </w:p>
          <w:p w14:paraId="0CD0445E">
            <w:pPr>
              <w:pStyle w:val="8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部门：沅江市档案馆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 w14:paraId="084AA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39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BBA3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     入</w:t>
            </w:r>
          </w:p>
        </w:tc>
        <w:tc>
          <w:tcPr>
            <w:tcW w:w="9476" w:type="dxa"/>
            <w:gridSpan w:val="6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0E02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     出</w:t>
            </w:r>
          </w:p>
        </w:tc>
      </w:tr>
      <w:tr w14:paraId="4DC6F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58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9242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B125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行次</w:t>
            </w:r>
          </w:p>
        </w:tc>
        <w:tc>
          <w:tcPr>
            <w:tcW w:w="1429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223D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</w:tc>
        <w:tc>
          <w:tcPr>
            <w:tcW w:w="4140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A095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553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610B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行次</w:t>
            </w:r>
          </w:p>
        </w:tc>
        <w:tc>
          <w:tcPr>
            <w:tcW w:w="944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6587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364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C680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一般公共预算财政拨款</w:t>
            </w: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AC10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政府性基金预算财政拨款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E2C8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国有资本经营预算财政拨款</w:t>
            </w:r>
          </w:p>
        </w:tc>
      </w:tr>
      <w:tr w14:paraId="688F2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8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FA3EC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A3F0E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9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B3D1C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57B89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CDD4C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173EF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C461D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814D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983B8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6B6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2C17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栏次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7372C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AC10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E4C3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栏次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6DAAD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65E4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7D12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840F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7C17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1E402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E91F4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一、一般公共预算财政拨款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63DF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D8F32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215.75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423B6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一、一般公共服务支出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E8B8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41C31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204.50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DCB53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204.50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02F76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3C0DD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7EC74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C88B1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二、政府性基金预算财政拨款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1474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A9025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53AF0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二、外交支出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8DE4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E60BF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F0910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DB493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5F9D7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CB29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EDE80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三、国有资本经营预算财政拨款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A97E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D0E9D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A7A5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三、国防支出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4270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A0568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7ED97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F3F77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7B337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5516A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540E99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DFC4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963164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2BD69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四、公共安全支出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1A11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94B43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CCC99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C51EF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84510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9AB4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4A6644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AA14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C9A22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47903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五、教育支出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66F2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BBFBC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8C32D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9DCD3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66593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0358B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923AA9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CD7B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9C423C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06E7F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六、科学技术支出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CD28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CE811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E8621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D15EE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893AD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3B4EF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B4C6A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94AF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F58775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AF45F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七、文化旅游体育与传媒支出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9116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7432F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A5EA4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96D9D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9DF1B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42F39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94F3BA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7AE1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A10C4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A3AB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八、社会保障和就业支出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2E08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B25C9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C68E1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D5A9A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D08B3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168D3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8BED03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F9BC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EF35C3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7770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九、卫生健康支出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D758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3773A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E827F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01696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FDA17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19D0B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A8090D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22F2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903214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5429F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十、节能环保支出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E095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1F7E7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1F19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7DE2C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ABE9D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07209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7FD7AE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880E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BA4990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0FC84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十一、城乡社区支出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FBD7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E68CD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E3098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31AD7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E4EF0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0A4E3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353093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035B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22DC9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5053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十二、农林水支出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7D53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B4BF6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7461C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6737E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313DE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33355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D761BB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2A4A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38A66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B3204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十三、交通运输支出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2C13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5D885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86E9B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D099C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F8985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CB9A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9189B1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DF0C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7C01F1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C8ED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十四、资源勘探工业信息等支出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BFA9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E4BB9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8BA0C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3CA18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74824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3E7BF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61ED4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A6F6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9F778E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A0B7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十五、商业服务业等支出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B226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6EDA4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F5BCA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CF192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A8AAB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61177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A3275C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1681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F207B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49C3D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十六、金融支出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B2A3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F58D5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B0FAE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121EB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09754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39AC9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C36014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13E2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11ABC4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7F3FD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十七、援助其他地区支出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17FE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0F95C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F9C21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C9E56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13218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7466D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3A6D9A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9B6A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15AB9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A1AB2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十八、自然资源海洋气象等支出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441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43668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4CD51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1094E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F68FC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7B5F9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4D029E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9975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9F3628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7E7A7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十九、住房保障支出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2FE1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D279B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10.72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40D96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BF357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B553B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10F9D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890F83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2267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3F00AB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03A51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二十、粮油物资储备支出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A817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4FFD0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CD8AA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21BAD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5E2FA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50C7F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49F25F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C5FF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48F10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E6CD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二十一、国有资本经营预算支出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0E4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9E30B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3D0AC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34C4F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F17C1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6C1B7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44BD3F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3EFF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4C2837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95FA1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二十二、灾害防治及应急管理支出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D838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655AA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300F2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F90E6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AFE29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3B7AC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CAC0B8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BBA4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9B9E1C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5852F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二十三、其他支出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FEDD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DC4F5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07CF0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EDBDC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254BF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38A57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B1B0D7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1588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A5AE31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A403D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二十四、债务还本支出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88F4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5E728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10555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876D3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55372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54B9A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92C35A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4D51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494EC8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769A1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二十五、债务付息支出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58DE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EA4D4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02EFB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7D5D6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D373A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E51B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6E277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EFD0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19188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A508A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二十六、抗疫特别国债安排的支出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6BB2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650F2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4B56D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EFA38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44B86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71C2C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D892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本年收入合计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DBB8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BDB72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215.75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7E3B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本年支出合计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5054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42682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215.75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33B64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215.75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27D83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52413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4626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662FC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年初结转和结余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25C0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4AE99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99FC1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年末结转和结余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6267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C3E3D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9975B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485FB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B3FB5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540AE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8D502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一般公共预算财政拨款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0161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FD28F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B5065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B61F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17506B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12ED3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5D3F62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837FAD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064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3A5F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政府性基金预算财政拨款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C25B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DC941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133E0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FE0A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E2A45C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783403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07F39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66680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C0C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914D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国有资本经营预算财政拨款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DCF7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2052C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D090DC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2506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1A20A5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17468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7D97D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422FDC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9C7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48A1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E352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65F8D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215.75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208C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E56A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5EC06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215.75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4CF9C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215.75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1AED8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56443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11F8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0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F62F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注：1.本表依据《财政拨款收入支出决算总表》（财决01-1表）进行批复。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BA376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AD5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0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4827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2.本表以“万元”为金额单位（保留两位小数）。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A440A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38784F23">
      <w:pPr>
        <w:pStyle w:val="8"/>
        <w:rPr>
          <w:rFonts w:ascii="Times New Roman" w:hAnsi="Times New Roman" w:eastAsia="方正小标宋_GBK" w:cs="Times New Roman"/>
          <w:color w:val="000000"/>
          <w:kern w:val="0"/>
          <w:sz w:val="36"/>
          <w:szCs w:val="21"/>
        </w:rPr>
      </w:pPr>
    </w:p>
    <w:p w14:paraId="3D56A018">
      <w:pPr>
        <w:pStyle w:val="4"/>
        <w:rPr>
          <w:rFonts w:ascii="Times New Roman" w:hAnsi="Times New Roman" w:eastAsia="方正小标宋_GBK" w:cs="Times New Roman"/>
          <w:color w:val="000000"/>
          <w:kern w:val="0"/>
          <w:sz w:val="36"/>
          <w:szCs w:val="21"/>
        </w:rPr>
      </w:pPr>
    </w:p>
    <w:p w14:paraId="627B68B5">
      <w:pPr>
        <w:rPr>
          <w:rFonts w:ascii="Times New Roman" w:hAnsi="Times New Roman" w:eastAsia="方正小标宋_GBK" w:cs="Times New Roman"/>
          <w:color w:val="000000"/>
          <w:kern w:val="0"/>
          <w:sz w:val="36"/>
          <w:szCs w:val="21"/>
        </w:rPr>
      </w:pPr>
    </w:p>
    <w:p w14:paraId="71C20371">
      <w:pPr>
        <w:pStyle w:val="8"/>
      </w:pPr>
    </w:p>
    <w:p w14:paraId="4BFE801E">
      <w:pPr>
        <w:pStyle w:val="4"/>
      </w:pPr>
    </w:p>
    <w:p w14:paraId="43AD52D2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  <w:bookmarkStart w:id="4" w:name="RANGE!A1:I22"/>
      <w:bookmarkEnd w:id="4"/>
      <w:bookmarkStart w:id="5" w:name="RANGE!A1:F16"/>
    </w:p>
    <w:p w14:paraId="2E3F634D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2EF0EEE5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2E0A8D74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024C668F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6685A763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09AAA206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1181C666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0D47D0AD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一般公共预算财政拨款支出决算表</w:t>
      </w:r>
    </w:p>
    <w:p w14:paraId="79EFF2E8">
      <w:pPr>
        <w:pStyle w:val="8"/>
        <w:rPr>
          <w:rFonts w:hint="eastAsia"/>
          <w:lang w:val="en-US" w:eastAsia="zh-CN"/>
        </w:rPr>
      </w:pPr>
    </w:p>
    <w:p w14:paraId="0FA3DDA8">
      <w:pPr>
        <w:pStyle w:val="8"/>
        <w:ind w:firstLine="12200" w:firstLineChars="61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公开05表</w:t>
      </w:r>
    </w:p>
    <w:p w14:paraId="4A86F38A">
      <w:pPr>
        <w:ind w:firstLine="1000" w:firstLineChars="500"/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部门：沅江市档案馆  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                                                              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单位：万元</w:t>
      </w:r>
    </w:p>
    <w:tbl>
      <w:tblPr>
        <w:tblStyle w:val="9"/>
        <w:tblpPr w:leftFromText="180" w:rightFromText="180" w:vertAnchor="page" w:horzAnchor="page" w:tblpX="1591" w:tblpY="2829"/>
        <w:tblOverlap w:val="never"/>
        <w:tblW w:w="132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626"/>
        <w:gridCol w:w="626"/>
        <w:gridCol w:w="2838"/>
        <w:gridCol w:w="2409"/>
        <w:gridCol w:w="2850"/>
        <w:gridCol w:w="2730"/>
      </w:tblGrid>
      <w:tr w14:paraId="6E970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88" w:type="dxa"/>
            <w:gridSpan w:val="3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087D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科目代码</w:t>
            </w:r>
          </w:p>
        </w:tc>
        <w:tc>
          <w:tcPr>
            <w:tcW w:w="2838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89E9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5C33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本年支出合计</w:t>
            </w:r>
          </w:p>
        </w:tc>
        <w:tc>
          <w:tcPr>
            <w:tcW w:w="2850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8649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2730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B527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项目支出</w:t>
            </w:r>
          </w:p>
        </w:tc>
      </w:tr>
      <w:tr w14:paraId="5C55C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88" w:type="dxa"/>
            <w:gridSpan w:val="3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A9B9E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8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DE267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7B794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051E3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AA3B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DB0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88" w:type="dxa"/>
            <w:gridSpan w:val="3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378CA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8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0B599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97963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FE6FD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EBB42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767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88" w:type="dxa"/>
            <w:gridSpan w:val="3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7BD29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8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3BB39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9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DE64E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A1848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3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5D648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E1D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36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1664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</w:t>
            </w:r>
          </w:p>
        </w:tc>
        <w:tc>
          <w:tcPr>
            <w:tcW w:w="626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9A60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款</w:t>
            </w:r>
          </w:p>
        </w:tc>
        <w:tc>
          <w:tcPr>
            <w:tcW w:w="626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FA72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283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2556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栏次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B93A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7587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9284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3D918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36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5C79F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5EB34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F666E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96EF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BE4EC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216.05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770D5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162.63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26223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53.42</w:t>
            </w:r>
          </w:p>
        </w:tc>
      </w:tr>
      <w:tr w14:paraId="2B635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579F5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2012602</w:t>
            </w:r>
          </w:p>
        </w:tc>
        <w:tc>
          <w:tcPr>
            <w:tcW w:w="283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3FF2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一般行政管理事务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414F3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53.42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BA9E4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A1958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53.42</w:t>
            </w:r>
          </w:p>
        </w:tc>
      </w:tr>
      <w:tr w14:paraId="39AB0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F0DB7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2012601</w:t>
            </w:r>
          </w:p>
        </w:tc>
        <w:tc>
          <w:tcPr>
            <w:tcW w:w="283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889B9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9738D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151.17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5FEBF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151.17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547B5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708B3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AEBD0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2100717</w:t>
            </w:r>
          </w:p>
        </w:tc>
        <w:tc>
          <w:tcPr>
            <w:tcW w:w="283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8F5C5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计划生育服务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E7EE5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4CD24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D27A1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063D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EAE37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2210201</w:t>
            </w:r>
          </w:p>
        </w:tc>
        <w:tc>
          <w:tcPr>
            <w:tcW w:w="283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43766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42A18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10.72</w:t>
            </w:r>
          </w:p>
        </w:tc>
        <w:tc>
          <w:tcPr>
            <w:tcW w:w="285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2CBD4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10.72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3259E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76EB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gridSpan w:val="3"/>
            <w:tcBorders>
              <w:top w:val="nil"/>
              <w:left w:val="nil"/>
              <w:bottom w:val="nil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83AC8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2299999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D5E19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E6F7B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8FDD0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51A74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4323B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8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E2F07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D6A0B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BF380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0E122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51358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72323C27">
      <w:pPr>
        <w:pStyle w:val="4"/>
        <w:ind w:left="0" w:leftChars="0" w:firstLine="0" w:firstLineChars="0"/>
        <w:rPr>
          <w:rFonts w:hint="eastAsia"/>
          <w:lang w:val="en-US" w:eastAsia="zh-CN"/>
        </w:rPr>
      </w:pPr>
    </w:p>
    <w:p w14:paraId="130BC922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2D2C0030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56B18DE0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0208FB0F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07C7B13A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7579C2AB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6301139B">
      <w:pPr>
        <w:widowControl/>
        <w:jc w:val="both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0F82B9B3">
      <w:pPr>
        <w:widowControl/>
        <w:numPr>
          <w:ilvl w:val="0"/>
          <w:numId w:val="0"/>
        </w:numPr>
        <w:ind w:firstLine="630" w:firstLineChars="300"/>
        <w:jc w:val="both"/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1、本表以“万元”为金额单位（保留两位小数）。</w:t>
      </w:r>
    </w:p>
    <w:p w14:paraId="27A490D1">
      <w:pPr>
        <w:pStyle w:val="8"/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2、</w:t>
      </w:r>
      <w:r>
        <w:rPr>
          <w:rFonts w:hint="eastAsia" w:ascii="宋体" w:hAnsi="宋体" w:eastAsia="宋体" w:cs="宋体"/>
          <w:kern w:val="0"/>
          <w:sz w:val="21"/>
          <w:szCs w:val="21"/>
        </w:rPr>
        <w:t>本表反映部门本年度一般公共预算财政拨款支出情况</w:t>
      </w:r>
    </w:p>
    <w:p w14:paraId="703F6757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7FDBA73E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4E2C564D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53379191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472B1BB0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tbl>
      <w:tblPr>
        <w:tblStyle w:val="9"/>
        <w:tblW w:w="1557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3555"/>
        <w:gridCol w:w="1106"/>
        <w:gridCol w:w="766"/>
        <w:gridCol w:w="2490"/>
        <w:gridCol w:w="986"/>
        <w:gridCol w:w="766"/>
        <w:gridCol w:w="3997"/>
        <w:gridCol w:w="1140"/>
      </w:tblGrid>
      <w:tr w14:paraId="39871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5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31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一般公共预算财政拨款基本支出决算明细表</w:t>
            </w:r>
          </w:p>
          <w:p w14:paraId="237A7A9C">
            <w:pPr>
              <w:pStyle w:val="8"/>
              <w:ind w:firstLine="12800" w:firstLineChars="640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公开06表</w:t>
            </w:r>
          </w:p>
          <w:p w14:paraId="49B85EB6">
            <w:pPr>
              <w:pStyle w:val="8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部门：沅江市档案馆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 w14:paraId="2DB1C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27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1FBA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10145" w:type="dxa"/>
            <w:gridSpan w:val="6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2092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公用经费</w:t>
            </w:r>
          </w:p>
        </w:tc>
      </w:tr>
      <w:tr w14:paraId="0BD81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1CB3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355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65A6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106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DB29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ECF9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DA28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986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8227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E19F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3997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B1F5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5B16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</w:tr>
      <w:tr w14:paraId="65615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D4400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D2944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1E274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97893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94007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F16DA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7D501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97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9DC84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7F08E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04B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F384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2457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89D6D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143.50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58F05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0F01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D30C8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17.06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064F2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72AF4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债务利息及费用支出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8CD70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7558F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E4ABC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30101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05A42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基本工资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1CD26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51.48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BB094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30201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634F5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办公费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29DE4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D024E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30701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0748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国内债务付息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AAFC5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3A319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0DD46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30102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D1D3D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津贴补贴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5C94E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27.05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5C9D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30202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582C9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印刷费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4A2E2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E3A00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30702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A3B8D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国外债务付息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3921A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1AB31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7B91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30103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0FAEA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奖金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6E0C7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EC1E4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30203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7B33E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咨询费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20AED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3635F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6F113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资本性支出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475BC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7452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F683D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30106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A345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伙食补助费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AF2D8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E7642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30204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06AF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手续费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A900B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52514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31001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F0CBA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房屋建筑物购建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8E77A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35957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35F52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30107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07640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绩效工资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A7364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12C48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30205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BC09D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水费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9DC4D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37A05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31002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7F5E8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办公设备购置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BE90D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50102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29B5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30108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381B9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机关事业单位基本养老保险缴费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25528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13.63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9A6BE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30206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556A5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电费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77AF0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7BF6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31003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32C0B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专用设备购置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9C543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0F0EB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00D4B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30109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C3AE3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职业年金缴费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3E5F3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4ED62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30207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273DE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邮电费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84783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707A3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31005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810D3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基础设施建设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A6060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D9CC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A7714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30110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62F6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职工基本医疗保险缴费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7A499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A9558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30208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3E90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取暖费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9F12D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885B6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31006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B322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大型修缮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837BB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45EAE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A475F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30111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BE5E6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公务员医疗补助缴费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87938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83F45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30209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7025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物业管理费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456AE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7E232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31007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BEE56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信息网络及软件购置更新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45E79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6F4F7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DA9D6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30112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EB08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其他社会保障缴费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D36DA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C6894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30211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A28A7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差旅费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BBB7E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17CEB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31008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A9D7E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物资储备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91081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1B10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10FFA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30113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B4C2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DF8CF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15.59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94BD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30212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B0021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因公出国（境）费用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B5202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9A77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31009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F3CB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土地补偿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4FECE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5B5D1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D07B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30114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41DCF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医疗费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232DC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E48FE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30213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1225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维修（护）费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A80DF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7EF95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31010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10104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安置补助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96EFB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6FD31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DB5F1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30199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9809C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其他工资福利支出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4FDB2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E7FE4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30214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D7F8A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租赁费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3D235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DE631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31011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7CD8A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地上附着物和青苗补偿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8AD25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5BF34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7F670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31503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E9689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24E6B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30215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ABCE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会议费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FB788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4BAD6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31012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2BD6F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拆迁补偿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175A6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323FE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FABAB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30301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35223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离休费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9A593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EDB13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30216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A000A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培训费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E5D69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06569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31013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D20A9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公务用车购置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96158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302E4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8205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30302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83917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退休费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8AAC7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87C1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30217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03227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公务接待费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6824F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D4F0F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31019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3B7C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其他交通工具购置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9949E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902F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05CCA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30303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D7EC1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退职（役）费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05A01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6C8DF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30218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7A61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专用材料费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8AAA6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3EB9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31021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A305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文物和陈列品购置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4DEFB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04E28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DAAF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30304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C9719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抚恤金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FAA7E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3B6B1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30224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7D7CB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被装购置费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A1A10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EDB3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31022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89D97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无形资产购置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69DB6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C54D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A213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30305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4AF59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生活补助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89FC0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4A47A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30225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D4B1E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专用燃料费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CAA9F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D0860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31099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DEE6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其他资本性支出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06C37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3529C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166F1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30306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D596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救济费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B79D2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322DE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30226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FC8CF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劳务费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8F3A0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82AB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207E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3DF94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06F95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8E879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30307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BEEC4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医疗费补助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54FE3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7CB5F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30227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E017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委托业务费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1008F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FD755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39907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70AF8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国家赔偿费用支出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5F7B5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75EE2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C71FC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30308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2C2D1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助学金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9FB40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BC01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30228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FB3D4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工会经费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99745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B9718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39908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C0E4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对民间非营利组织和群众性自治组织补贴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5A585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25E08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E116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30309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0E16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奖励金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393A5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2C63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30229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4FBA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福利费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FC521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E7052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39909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EEE7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经常性赠与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B214A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1CF7B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92028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30310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37CB2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个人农业生产补贴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B0A93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2500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30231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B82A0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公务用车运行维护费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7F292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A2D78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39910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97A0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资本性赠与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15DB7E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0581F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CCB95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30311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492E9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代缴社会保险费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45DA0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DCEED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30239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58BBC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其他交通费用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0ACE4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9AE3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39999</w:t>
            </w: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9503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其他支出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A07A1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</w:tr>
      <w:tr w14:paraId="1239A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43E3A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30399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AE5A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其他对个人和家庭的补助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4930E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D5448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30240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4B3FD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税金及附加费用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1A7B4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60BCCF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0E08B4C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757B02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5E5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4498857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4860DF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C972BE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290BD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30299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22ED6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其他商品和服务支出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BB638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C17C3E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97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5912C6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372B8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F44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321" w:type="dxa"/>
            <w:gridSpan w:val="2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A933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人员经费合计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0BDA8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145.27</w:t>
            </w:r>
          </w:p>
        </w:tc>
        <w:tc>
          <w:tcPr>
            <w:tcW w:w="9005" w:type="dxa"/>
            <w:gridSpan w:val="5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C299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公用经费合计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9B3E4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17.06</w:t>
            </w:r>
          </w:p>
        </w:tc>
      </w:tr>
      <w:tr w14:paraId="68294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5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042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注：1.本表依据《一般公共预算财政拨款基本支出决算明细表》（财决08-1表）进行批复。</w:t>
            </w:r>
          </w:p>
        </w:tc>
      </w:tr>
      <w:tr w14:paraId="67224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5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B9A7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2.本表以“万元”为金额单位（保留两位小数）。</w:t>
            </w:r>
          </w:p>
        </w:tc>
      </w:tr>
    </w:tbl>
    <w:p w14:paraId="003368F1">
      <w:pPr>
        <w:widowControl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60BDF039">
      <w:pPr>
        <w:pStyle w:val="8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29F1719F">
      <w:pPr>
        <w:pStyle w:val="4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11D00776">
      <w:pPr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54FD1868">
      <w:pPr>
        <w:pStyle w:val="8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5D716F1F">
      <w:pPr>
        <w:pStyle w:val="4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1E8C35B7">
      <w:pPr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322F9548">
      <w:pPr>
        <w:pStyle w:val="8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6D4C7726">
      <w:pPr>
        <w:pStyle w:val="4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3B3FD82C">
      <w:pPr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181689C8">
      <w:pPr>
        <w:pStyle w:val="8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76BC1018">
      <w:pPr>
        <w:pStyle w:val="4"/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6C98726C">
      <w:pPr>
        <w:rPr>
          <w:rFonts w:ascii="Times New Roman" w:hAnsi="Times New Roman" w:eastAsia="方正小标宋_GBK" w:cs="Times New Roman"/>
          <w:kern w:val="0"/>
          <w:sz w:val="36"/>
          <w:szCs w:val="36"/>
        </w:rPr>
      </w:pPr>
    </w:p>
    <w:p w14:paraId="4FE71326">
      <w:pPr>
        <w:pStyle w:val="8"/>
      </w:pPr>
    </w:p>
    <w:bookmarkEnd w:id="5"/>
    <w:p w14:paraId="5167FC17">
      <w:pPr>
        <w:widowControl/>
        <w:jc w:val="center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tbl>
      <w:tblPr>
        <w:tblStyle w:val="9"/>
        <w:tblW w:w="12735" w:type="dxa"/>
        <w:tblInd w:w="11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715"/>
        <w:gridCol w:w="2325"/>
        <w:gridCol w:w="2955"/>
        <w:gridCol w:w="2610"/>
      </w:tblGrid>
      <w:tr w14:paraId="77534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B6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E1F4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042B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CE62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国有资本经营预算财政拨款支出决算表</w:t>
            </w:r>
          </w:p>
          <w:p w14:paraId="50FED20F">
            <w:pPr>
              <w:pStyle w:val="8"/>
              <w:ind w:firstLine="10800" w:firstLineChars="540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公开07表</w:t>
            </w:r>
          </w:p>
          <w:p w14:paraId="2D299B22">
            <w:pPr>
              <w:pStyle w:val="8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部门：沅江市档案馆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 w14:paraId="02CB0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845" w:type="dxa"/>
            <w:gridSpan w:val="2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2EEE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7890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6F10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本年支出</w:t>
            </w:r>
          </w:p>
        </w:tc>
      </w:tr>
      <w:tr w14:paraId="4806B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30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7A0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科目代码</w:t>
            </w:r>
          </w:p>
        </w:tc>
        <w:tc>
          <w:tcPr>
            <w:tcW w:w="271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381A1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32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5A69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95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3AF9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9075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项目支出</w:t>
            </w:r>
          </w:p>
        </w:tc>
      </w:tr>
      <w:tr w14:paraId="2AEFF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3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C24D1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5876A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66668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DF458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D8F10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682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3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F1BE4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7D0CC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FCE06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D1A46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0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05F9B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334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845" w:type="dxa"/>
            <w:gridSpan w:val="2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5391C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栏次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35E9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14748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28F63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79A06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845" w:type="dxa"/>
            <w:gridSpan w:val="2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noWrap/>
            <w:vAlign w:val="center"/>
          </w:tcPr>
          <w:p w14:paraId="6D5C3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0D77FE7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130B1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261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E04E532"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81D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3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B4667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C6EBF2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C0DE28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76F03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62952D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02D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0CAE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注：本表反映部门本年度国有资本经营预算财政拨款支出情况。</w:t>
            </w:r>
          </w:p>
        </w:tc>
      </w:tr>
    </w:tbl>
    <w:p w14:paraId="4C9AF316">
      <w:pPr>
        <w:pStyle w:val="8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75C8AADA">
      <w:pPr>
        <w:pStyle w:val="4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47F0F08F">
      <w:pPr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32B26517">
      <w:pPr>
        <w:pStyle w:val="8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3CE104BB">
      <w:pPr>
        <w:pStyle w:val="4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2799078C">
      <w:pPr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1B9F3790">
      <w:pPr>
        <w:pStyle w:val="8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70EFECD8">
      <w:pPr>
        <w:pStyle w:val="4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tbl>
      <w:tblPr>
        <w:tblStyle w:val="9"/>
        <w:tblW w:w="149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245"/>
        <w:gridCol w:w="1245"/>
        <w:gridCol w:w="1245"/>
        <w:gridCol w:w="1245"/>
        <w:gridCol w:w="1245"/>
        <w:gridCol w:w="1245"/>
        <w:gridCol w:w="1245"/>
        <w:gridCol w:w="1245"/>
        <w:gridCol w:w="1245"/>
        <w:gridCol w:w="1245"/>
        <w:gridCol w:w="1245"/>
      </w:tblGrid>
      <w:tr w14:paraId="28099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9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B6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69AC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42CC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财政拨款“三公”经费支出决算表</w:t>
            </w:r>
          </w:p>
          <w:p w14:paraId="1ED9CC6F">
            <w:pPr>
              <w:pStyle w:val="8"/>
              <w:ind w:firstLine="12000" w:firstLineChars="600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公开08表</w:t>
            </w:r>
          </w:p>
          <w:p w14:paraId="5DE34095">
            <w:pPr>
              <w:pStyle w:val="8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部门：沅江市档案馆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 w14:paraId="4C92A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470" w:type="dxa"/>
            <w:gridSpan w:val="6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2F8D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预算数</w:t>
            </w:r>
          </w:p>
        </w:tc>
        <w:tc>
          <w:tcPr>
            <w:tcW w:w="7470" w:type="dxa"/>
            <w:gridSpan w:val="6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8DDC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</w:tr>
      <w:tr w14:paraId="60998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4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3FEA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6AF6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因公出国（境）费</w:t>
            </w:r>
          </w:p>
        </w:tc>
        <w:tc>
          <w:tcPr>
            <w:tcW w:w="3735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8C51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BC7A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7039A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3933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因公出国（境）费</w:t>
            </w:r>
          </w:p>
        </w:tc>
        <w:tc>
          <w:tcPr>
            <w:tcW w:w="3735" w:type="dxa"/>
            <w:gridSpan w:val="3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17CC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3155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公务接待费</w:t>
            </w:r>
          </w:p>
        </w:tc>
      </w:tr>
      <w:tr w14:paraId="5D13A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4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E107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B011F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4A4A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BC5F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公务用车购置费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8AEC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90EA7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1D5C1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A7C7D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7613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7125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公务用车购置费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DB8E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45D6A1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D03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755A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52DA1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826A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C39F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A40C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6E77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1294B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F5D5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2731C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663CB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0ECB3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1F1F1"/>
            <w:vAlign w:val="center"/>
          </w:tcPr>
          <w:p w14:paraId="31AC3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6A9CB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F66F8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B42EF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7109E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C2527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5A33B6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82736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7AAE9B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405177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2F61E8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01C130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33B9DD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4D4D4" w:sz="4" w:space="0"/>
              <w:right w:val="single" w:color="D4D4D4" w:sz="4" w:space="0"/>
            </w:tcBorders>
            <w:shd w:val="clear" w:color="auto" w:fill="FFFFFF"/>
            <w:noWrap/>
            <w:vAlign w:val="center"/>
          </w:tcPr>
          <w:p w14:paraId="6A43EF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</w:tr>
      <w:tr w14:paraId="359D1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9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292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注：本表反映部门本年度财政拨款“三公”经费支出预决算情况。其中，预算数为“三公”经费全年预算数，反映按规定程序调整后的预算数；决算数是包括当年财政拨款和以前年度结转资金安排的实际支出。</w:t>
            </w:r>
          </w:p>
        </w:tc>
      </w:tr>
    </w:tbl>
    <w:p w14:paraId="4FF067B9">
      <w:pPr>
        <w:widowControl/>
        <w:jc w:val="both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6308803D">
      <w:pPr>
        <w:pStyle w:val="8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1C96556E">
      <w:pPr>
        <w:pStyle w:val="4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49A974F5">
      <w:pPr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16FCFD4F">
      <w:pPr>
        <w:pStyle w:val="8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720CCE0F">
      <w:pPr>
        <w:pStyle w:val="4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7B242C97">
      <w:pPr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3E89BE61">
      <w:pPr>
        <w:pStyle w:val="8"/>
        <w:rPr>
          <w:rFonts w:hint="eastAsia" w:ascii="Times New Roman" w:hAnsi="Times New Roman" w:eastAsia="方正小标宋_GBK" w:cs="Times New Roman"/>
          <w:color w:val="000000"/>
          <w:kern w:val="0"/>
          <w:sz w:val="36"/>
          <w:szCs w:val="36"/>
        </w:rPr>
      </w:pPr>
    </w:p>
    <w:p w14:paraId="4A57B8E2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4"/>
          <w:szCs w:val="24"/>
        </w:rPr>
      </w:pPr>
    </w:p>
    <w:p w14:paraId="3DF6E487">
      <w:pPr>
        <w:autoSpaceDE w:val="0"/>
        <w:autoSpaceDN w:val="0"/>
        <w:adjustRightInd w:val="0"/>
        <w:ind w:left="315" w:leftChars="150"/>
        <w:jc w:val="left"/>
        <w:rPr>
          <w:rFonts w:ascii="宋体" w:eastAsia="宋体" w:cs="宋体"/>
          <w:kern w:val="0"/>
          <w:sz w:val="24"/>
          <w:szCs w:val="24"/>
        </w:rPr>
      </w:pPr>
    </w:p>
    <w:p w14:paraId="5AD49369">
      <w:pPr>
        <w:autoSpaceDE w:val="0"/>
        <w:autoSpaceDN w:val="0"/>
        <w:adjustRightInd w:val="0"/>
        <w:ind w:left="315" w:leftChars="150"/>
        <w:jc w:val="left"/>
        <w:rPr>
          <w:rFonts w:ascii="宋体" w:eastAsia="宋体" w:cs="宋体"/>
          <w:kern w:val="0"/>
          <w:sz w:val="24"/>
          <w:szCs w:val="24"/>
        </w:rPr>
      </w:pPr>
    </w:p>
    <w:p w14:paraId="17456E7C">
      <w:pPr>
        <w:pStyle w:val="13"/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</w:p>
    <w:p w14:paraId="19F7BE43">
      <w:pPr>
        <w:pStyle w:val="13"/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</w:p>
    <w:p w14:paraId="54156104">
      <w:pPr>
        <w:pStyle w:val="13"/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  <w:r>
        <w:rPr>
          <w:rFonts w:hint="eastAsia" w:ascii="方正小标宋_GBK" w:hAnsi="方正小标宋_GBK" w:eastAsia="方正小标宋_GBK" w:cs="方正小标宋_GBK"/>
          <w:sz w:val="72"/>
          <w:szCs w:val="72"/>
        </w:rPr>
        <w:t>第三部分</w:t>
      </w:r>
    </w:p>
    <w:p w14:paraId="33526F86">
      <w:pPr>
        <w:pStyle w:val="13"/>
        <w:jc w:val="center"/>
        <w:rPr>
          <w:rFonts w:hint="eastAsia" w:ascii="方正小标宋_GBK" w:hAnsi="方正小标宋_GBK" w:eastAsia="方正小标宋_GBK" w:cs="方正小标宋_GBK"/>
          <w:sz w:val="70"/>
          <w:szCs w:val="70"/>
        </w:rPr>
      </w:pPr>
    </w:p>
    <w:p w14:paraId="528291FD">
      <w:pPr>
        <w:widowControl/>
        <w:jc w:val="center"/>
        <w:rPr>
          <w:sz w:val="72"/>
          <w:szCs w:val="72"/>
        </w:rPr>
        <w:sectPr>
          <w:pgSz w:w="16838" w:h="11906" w:orient="landscape"/>
          <w:pgMar w:top="720" w:right="850" w:bottom="720" w:left="85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小标宋_GBK" w:hAnsi="方正小标宋_GBK" w:eastAsia="方正小标宋_GBK" w:cs="方正小标宋_GBK"/>
          <w:sz w:val="70"/>
          <w:szCs w:val="70"/>
        </w:rPr>
        <w:t>202</w:t>
      </w:r>
      <w:r>
        <w:rPr>
          <w:rFonts w:hint="eastAsia" w:ascii="方正小标宋_GBK" w:hAnsi="方正小标宋_GBK" w:eastAsia="方正小标宋_GBK" w:cs="方正小标宋_GBK"/>
          <w:sz w:val="70"/>
          <w:szCs w:val="70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70"/>
          <w:szCs w:val="70"/>
        </w:rPr>
        <w:t>年度部门决算情况说明</w:t>
      </w:r>
    </w:p>
    <w:p w14:paraId="33C177D6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p w14:paraId="21FD7798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一、收入支出决算总体情况说明</w:t>
      </w:r>
    </w:p>
    <w:p w14:paraId="0CE8D0BE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年度收、支总计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216.05</w:t>
      </w:r>
      <w:r>
        <w:rPr>
          <w:rFonts w:hint="eastAsia" w:ascii="Times New Roman" w:hAnsi="Times New Roman" w:eastAsia="仿宋_GB2312"/>
          <w:sz w:val="32"/>
          <w:szCs w:val="32"/>
        </w:rPr>
        <w:t>万元。与上年相比，减少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58.89</w:t>
      </w:r>
      <w:r>
        <w:rPr>
          <w:rFonts w:hint="eastAsia" w:ascii="Times New Roman" w:hAnsi="Times New Roman" w:eastAsia="仿宋_GB2312"/>
          <w:sz w:val="32"/>
          <w:szCs w:val="32"/>
        </w:rPr>
        <w:t>万元，减少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</w:rPr>
        <w:t>%，主要是因为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：财政预算整体调减。</w:t>
      </w:r>
    </w:p>
    <w:p w14:paraId="31B219D5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二、收入决算情况说明</w:t>
      </w:r>
    </w:p>
    <w:p w14:paraId="3C535DBE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年度收入合计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216.05</w:t>
      </w:r>
      <w:r>
        <w:rPr>
          <w:rFonts w:hint="eastAsia" w:ascii="Times New Roman" w:hAnsi="Times New Roman" w:eastAsia="仿宋_GB2312"/>
          <w:sz w:val="32"/>
          <w:szCs w:val="32"/>
        </w:rPr>
        <w:t>万元，其中：财政拨款收入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215.75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99.8</w:t>
      </w:r>
      <w:r>
        <w:rPr>
          <w:rFonts w:hint="eastAsia" w:ascii="Times New Roman" w:hAnsi="Times New Roman" w:eastAsia="仿宋_GB2312"/>
          <w:sz w:val="32"/>
          <w:szCs w:val="32"/>
        </w:rPr>
        <w:t>%；上级补助收入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%；事业收入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%；经营收入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%；附属单位上缴收入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%；其他收入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0.3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0.2</w:t>
      </w:r>
      <w:r>
        <w:rPr>
          <w:rFonts w:hint="eastAsia" w:ascii="Times New Roman" w:hAnsi="Times New Roman" w:eastAsia="仿宋_GB2312"/>
          <w:sz w:val="32"/>
          <w:szCs w:val="32"/>
        </w:rPr>
        <w:t>%。</w:t>
      </w:r>
    </w:p>
    <w:p w14:paraId="40C51888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三、支出决算情况说明</w:t>
      </w:r>
    </w:p>
    <w:p w14:paraId="24C0C0EE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年度支出合计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216.05</w:t>
      </w:r>
      <w:r>
        <w:rPr>
          <w:rFonts w:hint="eastAsia" w:ascii="Times New Roman" w:hAnsi="Times New Roman" w:eastAsia="仿宋_GB2312"/>
          <w:sz w:val="32"/>
          <w:szCs w:val="32"/>
        </w:rPr>
        <w:t>万元，其中：基本支出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162.33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75.1</w:t>
      </w:r>
      <w:r>
        <w:rPr>
          <w:rFonts w:hint="eastAsia" w:ascii="Times New Roman" w:hAnsi="Times New Roman" w:eastAsia="仿宋_GB2312"/>
          <w:sz w:val="32"/>
          <w:szCs w:val="32"/>
        </w:rPr>
        <w:t>%；项目支出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53.42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24.7</w:t>
      </w:r>
      <w:r>
        <w:rPr>
          <w:rFonts w:hint="eastAsia" w:ascii="Times New Roman" w:hAnsi="Times New Roman" w:eastAsia="仿宋_GB2312"/>
          <w:sz w:val="32"/>
          <w:szCs w:val="32"/>
        </w:rPr>
        <w:t>%；上缴上级支出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%；经营支出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%；对附属单位补助支出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%。其他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0.3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0.2</w:t>
      </w:r>
      <w:r>
        <w:rPr>
          <w:rFonts w:hint="eastAsia" w:ascii="Times New Roman" w:hAnsi="Times New Roman" w:eastAsia="仿宋_GB2312"/>
          <w:sz w:val="32"/>
          <w:szCs w:val="32"/>
        </w:rPr>
        <w:t>%。</w:t>
      </w:r>
    </w:p>
    <w:p w14:paraId="5880CBF3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四、财政拨款收入支出决算总体情况说明</w:t>
      </w:r>
    </w:p>
    <w:p w14:paraId="0FAAAFA8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年度财政拨款收、支总计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215.75</w:t>
      </w:r>
      <w:r>
        <w:rPr>
          <w:rFonts w:hint="eastAsia" w:ascii="Times New Roman" w:hAnsi="Times New Roman" w:eastAsia="仿宋_GB2312"/>
          <w:sz w:val="32"/>
          <w:szCs w:val="32"/>
        </w:rPr>
        <w:t>万元，与上年相比，减少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57.22</w:t>
      </w:r>
      <w:r>
        <w:rPr>
          <w:rFonts w:hint="eastAsia" w:ascii="Times New Roman" w:hAnsi="Times New Roman" w:eastAsia="仿宋_GB2312"/>
          <w:sz w:val="32"/>
          <w:szCs w:val="32"/>
        </w:rPr>
        <w:t>万元，减少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约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</w:rPr>
        <w:t>%，主要是因为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：财政预算整体调减。</w:t>
      </w:r>
    </w:p>
    <w:p w14:paraId="5806FDD0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五、一般公共预算财政拨款支出决算情况说明</w:t>
      </w:r>
    </w:p>
    <w:p w14:paraId="750CB3A8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（一）一般公共预算财政拨款支出决算总体情况</w:t>
      </w:r>
    </w:p>
    <w:p w14:paraId="422317B5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年度财政拨款支出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215.75</w:t>
      </w:r>
      <w:r>
        <w:rPr>
          <w:rFonts w:hint="eastAsia" w:ascii="Times New Roman" w:hAnsi="Times New Roman" w:eastAsia="仿宋_GB2312"/>
          <w:sz w:val="32"/>
          <w:szCs w:val="32"/>
        </w:rPr>
        <w:t>万元，占本年支出合计的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99.8</w:t>
      </w:r>
      <w:r>
        <w:rPr>
          <w:rFonts w:hint="eastAsia" w:ascii="Times New Roman" w:hAnsi="Times New Roman" w:eastAsia="仿宋_GB2312"/>
          <w:sz w:val="32"/>
          <w:szCs w:val="32"/>
        </w:rPr>
        <w:t>%，与上年相比，财政拨款支出减少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57.22</w:t>
      </w:r>
      <w:r>
        <w:rPr>
          <w:rFonts w:hint="eastAsia" w:ascii="Times New Roman" w:hAnsi="Times New Roman" w:eastAsia="仿宋_GB2312"/>
          <w:sz w:val="32"/>
          <w:szCs w:val="32"/>
        </w:rPr>
        <w:t>万元，减少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约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</w:rPr>
        <w:t>%，主要是因为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：财政预算整体调减。</w:t>
      </w:r>
    </w:p>
    <w:p w14:paraId="2324EC61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480" w:firstLineChars="15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（二）一般公共预算财政拨款支出决算结构情况</w:t>
      </w:r>
    </w:p>
    <w:p w14:paraId="4A8A1EDF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年度财政拨款支出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215.75</w:t>
      </w:r>
      <w:r>
        <w:rPr>
          <w:rFonts w:hint="eastAsia" w:ascii="Times New Roman" w:hAnsi="Times New Roman" w:eastAsia="仿宋_GB2312"/>
          <w:sz w:val="32"/>
          <w:szCs w:val="32"/>
        </w:rPr>
        <w:t>万元，主要用于以下方面：一般公共服务（类）支出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204.5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95</w:t>
      </w:r>
      <w:r>
        <w:rPr>
          <w:rFonts w:hint="eastAsia" w:ascii="Times New Roman" w:hAnsi="Times New Roman" w:eastAsia="仿宋_GB2312"/>
          <w:sz w:val="32"/>
          <w:szCs w:val="32"/>
        </w:rPr>
        <w:t>%；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卫生</w:t>
      </w:r>
      <w:r>
        <w:rPr>
          <w:rFonts w:hint="eastAsia" w:ascii="Times New Roman" w:hAnsi="Times New Roman" w:eastAsia="仿宋_GB2312"/>
          <w:sz w:val="32"/>
          <w:szCs w:val="32"/>
        </w:rPr>
        <w:t>（类）支出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0.44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0.2</w:t>
      </w:r>
      <w:r>
        <w:rPr>
          <w:rFonts w:hint="eastAsia" w:ascii="Times New Roman" w:hAnsi="Times New Roman" w:eastAsia="仿宋_GB2312"/>
          <w:sz w:val="32"/>
          <w:szCs w:val="32"/>
        </w:rPr>
        <w:t>%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;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住房</w:t>
      </w:r>
      <w:r>
        <w:rPr>
          <w:rFonts w:hint="eastAsia" w:ascii="Times New Roman" w:hAnsi="Times New Roman" w:eastAsia="仿宋_GB2312"/>
          <w:sz w:val="32"/>
          <w:szCs w:val="32"/>
        </w:rPr>
        <w:t>（类）支出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10.72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4.8</w:t>
      </w:r>
      <w:r>
        <w:rPr>
          <w:rFonts w:hint="eastAsia" w:ascii="Times New Roman" w:hAnsi="Times New Roman" w:eastAsia="仿宋_GB2312"/>
          <w:sz w:val="32"/>
          <w:szCs w:val="32"/>
        </w:rPr>
        <w:t>%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 w14:paraId="4C0125CC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（三）一般公共预算财政拨款支出决算具体情况</w:t>
      </w:r>
    </w:p>
    <w:p w14:paraId="653DBA21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年度财政拨款支出年初预算数为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198.32</w:t>
      </w:r>
      <w:r>
        <w:rPr>
          <w:rFonts w:hint="eastAsia" w:ascii="Times New Roman" w:hAnsi="Times New Roman" w:eastAsia="仿宋_GB2312"/>
          <w:sz w:val="32"/>
          <w:szCs w:val="32"/>
        </w:rPr>
        <w:t>万元，支出决算数为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216.05</w:t>
      </w:r>
      <w:r>
        <w:rPr>
          <w:rFonts w:hint="eastAsia" w:ascii="Times New Roman" w:hAnsi="Times New Roman" w:eastAsia="仿宋_GB2312"/>
          <w:sz w:val="32"/>
          <w:szCs w:val="32"/>
        </w:rPr>
        <w:t>万元，完成年初预算的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108.9</w:t>
      </w:r>
      <w:r>
        <w:rPr>
          <w:rFonts w:hint="eastAsia" w:ascii="Times New Roman" w:hAnsi="Times New Roman" w:eastAsia="仿宋_GB2312"/>
          <w:sz w:val="32"/>
          <w:szCs w:val="32"/>
        </w:rPr>
        <w:t>%，其中：</w:t>
      </w:r>
    </w:p>
    <w:p w14:paraId="0AD82655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1、一般公共服务（类）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档案事务</w:t>
      </w:r>
      <w:r>
        <w:rPr>
          <w:rFonts w:hint="eastAsia" w:ascii="Times New Roman" w:hAnsi="Times New Roman" w:eastAsia="仿宋_GB2312"/>
          <w:sz w:val="32"/>
          <w:szCs w:val="32"/>
        </w:rPr>
        <w:t>（款）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行政运行</w:t>
      </w:r>
      <w:r>
        <w:rPr>
          <w:rFonts w:hint="eastAsia" w:ascii="Times New Roman" w:hAnsi="Times New Roman" w:eastAsia="仿宋_GB2312"/>
          <w:sz w:val="32"/>
          <w:szCs w:val="32"/>
        </w:rPr>
        <w:t>（项）。</w:t>
      </w:r>
    </w:p>
    <w:p w14:paraId="31427C1B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年初预算为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134.32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151.61</w:t>
      </w:r>
      <w:r>
        <w:rPr>
          <w:rFonts w:hint="eastAsia" w:ascii="Times New Roman" w:hAnsi="Times New Roman" w:eastAsia="仿宋_GB2312"/>
          <w:sz w:val="32"/>
          <w:szCs w:val="32"/>
        </w:rPr>
        <w:t>万元，完成年初预算的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112.8</w:t>
      </w:r>
      <w:r>
        <w:rPr>
          <w:rFonts w:hint="eastAsia" w:ascii="Times New Roman" w:hAnsi="Times New Roman" w:eastAsia="仿宋_GB2312"/>
          <w:sz w:val="32"/>
          <w:szCs w:val="32"/>
        </w:rPr>
        <w:t>%，决算数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大</w:t>
      </w:r>
      <w:r>
        <w:rPr>
          <w:rFonts w:hint="eastAsia" w:ascii="Times New Roman" w:hAnsi="Times New Roman" w:eastAsia="仿宋_GB2312"/>
          <w:sz w:val="32"/>
          <w:szCs w:val="32"/>
        </w:rPr>
        <w:t>于年初预算数的主要原因是：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正常晋级、基础绩效的增加、纳入了退休人员经费。</w:t>
      </w:r>
    </w:p>
    <w:p w14:paraId="6C18CA3E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、一般公共服务（类）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档案事务</w:t>
      </w:r>
      <w:r>
        <w:rPr>
          <w:rFonts w:hint="eastAsia" w:ascii="Times New Roman" w:hAnsi="Times New Roman" w:eastAsia="仿宋_GB2312"/>
          <w:sz w:val="32"/>
          <w:szCs w:val="32"/>
        </w:rPr>
        <w:t>（款）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一般行政管理事务</w:t>
      </w:r>
      <w:r>
        <w:rPr>
          <w:rFonts w:hint="eastAsia" w:ascii="Times New Roman" w:hAnsi="Times New Roman" w:eastAsia="仿宋_GB2312"/>
          <w:sz w:val="32"/>
          <w:szCs w:val="32"/>
        </w:rPr>
        <w:t>（项）。</w:t>
      </w:r>
    </w:p>
    <w:p w14:paraId="65EB7799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年初预算为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64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53.42</w:t>
      </w:r>
      <w:r>
        <w:rPr>
          <w:rFonts w:hint="eastAsia" w:ascii="Times New Roman" w:hAnsi="Times New Roman" w:eastAsia="仿宋_GB2312"/>
          <w:sz w:val="32"/>
          <w:szCs w:val="32"/>
        </w:rPr>
        <w:t>万元，完成年初预算的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83</w:t>
      </w:r>
      <w:r>
        <w:rPr>
          <w:rFonts w:hint="eastAsia" w:ascii="Times New Roman" w:hAnsi="Times New Roman" w:eastAsia="仿宋_GB2312"/>
          <w:sz w:val="32"/>
          <w:szCs w:val="32"/>
        </w:rPr>
        <w:t>%，决算数小于年初预算数的主要原因是：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财政预算整体调减。</w:t>
      </w:r>
    </w:p>
    <w:p w14:paraId="4F84DAB0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住房保障支出</w:t>
      </w:r>
      <w:r>
        <w:rPr>
          <w:rFonts w:hint="eastAsia" w:ascii="Times New Roman" w:hAnsi="Times New Roman" w:eastAsia="仿宋_GB2312"/>
          <w:sz w:val="32"/>
          <w:szCs w:val="32"/>
        </w:rPr>
        <w:t>（类）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住房改革支出</w:t>
      </w:r>
      <w:r>
        <w:rPr>
          <w:rFonts w:hint="eastAsia" w:ascii="Times New Roman" w:hAnsi="Times New Roman" w:eastAsia="仿宋_GB2312"/>
          <w:sz w:val="32"/>
          <w:szCs w:val="32"/>
        </w:rPr>
        <w:t>（款）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住房公积金</w:t>
      </w:r>
      <w:r>
        <w:rPr>
          <w:rFonts w:hint="eastAsia" w:ascii="Times New Roman" w:hAnsi="Times New Roman" w:eastAsia="仿宋_GB2312"/>
          <w:sz w:val="32"/>
          <w:szCs w:val="32"/>
        </w:rPr>
        <w:t>（项）。</w:t>
      </w:r>
    </w:p>
    <w:p w14:paraId="11D00733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年初预算为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10.72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10.72</w:t>
      </w:r>
      <w:r>
        <w:rPr>
          <w:rFonts w:hint="eastAsia" w:ascii="Times New Roman" w:hAnsi="Times New Roman" w:eastAsia="仿宋_GB2312"/>
          <w:sz w:val="32"/>
          <w:szCs w:val="32"/>
        </w:rPr>
        <w:t>万元，完成年初预算的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100</w:t>
      </w:r>
      <w:r>
        <w:rPr>
          <w:rFonts w:hint="eastAsia" w:ascii="Times New Roman" w:hAnsi="Times New Roman" w:eastAsia="仿宋_GB2312"/>
          <w:sz w:val="32"/>
          <w:szCs w:val="32"/>
        </w:rPr>
        <w:t>%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 w14:paraId="19FBBDE5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六、一般公共预算财政拨款基本支出决算情况说明</w:t>
      </w:r>
    </w:p>
    <w:p w14:paraId="5D2BF61F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年度财政拨款基本支出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162.33</w:t>
      </w:r>
      <w:r>
        <w:rPr>
          <w:rFonts w:hint="eastAsia" w:ascii="Times New Roman" w:hAnsi="Times New Roman" w:eastAsia="仿宋_GB2312"/>
          <w:sz w:val="32"/>
          <w:szCs w:val="32"/>
        </w:rPr>
        <w:t>万元，其中：</w:t>
      </w:r>
    </w:p>
    <w:p w14:paraId="3BC0183C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人员经费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145.27</w:t>
      </w:r>
      <w:r>
        <w:rPr>
          <w:rFonts w:hint="eastAsia" w:ascii="Times New Roman" w:hAnsi="Times New Roman" w:eastAsia="仿宋_GB2312"/>
          <w:sz w:val="32"/>
          <w:szCs w:val="32"/>
        </w:rPr>
        <w:t>万元，占基本支出的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89</w:t>
      </w:r>
      <w:r>
        <w:rPr>
          <w:rFonts w:hint="eastAsia" w:ascii="Times New Roman" w:hAnsi="Times New Roman" w:eastAsia="仿宋_GB2312"/>
          <w:sz w:val="32"/>
          <w:szCs w:val="32"/>
        </w:rPr>
        <w:t>%,主要包括基本工资、津贴补贴、奖金、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基本老养老保险、医保、住房公积金、对个人和家庭的补助等。</w:t>
      </w:r>
    </w:p>
    <w:p w14:paraId="481C77AC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公用经费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17.06</w:t>
      </w:r>
      <w:r>
        <w:rPr>
          <w:rFonts w:hint="eastAsia" w:ascii="Times New Roman" w:hAnsi="Times New Roman" w:eastAsia="仿宋_GB2312"/>
          <w:sz w:val="32"/>
          <w:szCs w:val="32"/>
        </w:rPr>
        <w:t>万元，占基本支出的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/>
          <w:sz w:val="32"/>
          <w:szCs w:val="32"/>
        </w:rPr>
        <w:t>%，主要包括办公费、印刷费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、公务接待费、工会费、其他交通费等。</w:t>
      </w:r>
    </w:p>
    <w:p w14:paraId="39E509EE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七、财政拨款三公经费支出决算情况说明</w:t>
      </w:r>
      <w:r>
        <w:rPr>
          <w:rFonts w:hint="eastAsia" w:ascii="楷体" w:hAnsi="楷体" w:eastAsia="楷体" w:cs="楷体"/>
          <w:b/>
          <w:bCs/>
          <w:i/>
          <w:color w:val="auto"/>
          <w:sz w:val="32"/>
          <w:szCs w:val="32"/>
          <w:lang w:eastAsia="zh-CN"/>
        </w:rPr>
        <w:t>（注意：三公经费情况说明，往年为一般公共预算财政拨款口径，今年为财政拨款口径）</w:t>
      </w:r>
    </w:p>
    <w:p w14:paraId="6A58C22D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b/>
          <w:bCs w:val="0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</w:rPr>
        <w:t>（一）“三公”经费财政拨款支出决算总体情况说明</w:t>
      </w:r>
    </w:p>
    <w:p w14:paraId="527BF2C1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“三公”经费财政拨款支出预算为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1.3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0.71</w:t>
      </w:r>
      <w:r>
        <w:rPr>
          <w:rFonts w:hint="eastAsia" w:ascii="Times New Roman" w:hAnsi="Times New Roman" w:eastAsia="仿宋_GB2312"/>
          <w:sz w:val="32"/>
          <w:szCs w:val="32"/>
        </w:rPr>
        <w:t>万元，完成预算的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55</w:t>
      </w:r>
      <w:r>
        <w:rPr>
          <w:rFonts w:hint="eastAsia" w:ascii="Times New Roman" w:hAnsi="Times New Roman" w:eastAsia="仿宋_GB2312"/>
          <w:sz w:val="32"/>
          <w:szCs w:val="32"/>
        </w:rPr>
        <w:t>%，决算数小于预算数的主要原因是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：压缩三公经费，</w:t>
      </w:r>
      <w:r>
        <w:rPr>
          <w:rFonts w:hint="eastAsia" w:ascii="Times New Roman" w:hAnsi="Times New Roman" w:eastAsia="仿宋_GB2312"/>
          <w:sz w:val="32"/>
          <w:szCs w:val="32"/>
        </w:rPr>
        <w:t>与上年相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相同。</w:t>
      </w:r>
    </w:p>
    <w:p w14:paraId="54264D3D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因公出国（境）费支出预算为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由于预算数为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0，无法计算百分比。与本年预算数相同，与上年决算数相同。</w:t>
      </w:r>
    </w:p>
    <w:p w14:paraId="4093F9A8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公务接待费支出预算为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1.3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0.71</w:t>
      </w:r>
      <w:r>
        <w:rPr>
          <w:rFonts w:hint="eastAsia" w:ascii="Times New Roman" w:hAnsi="Times New Roman" w:eastAsia="仿宋_GB2312"/>
          <w:sz w:val="32"/>
          <w:szCs w:val="32"/>
        </w:rPr>
        <w:t>万元，完成预算的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55</w:t>
      </w:r>
      <w:r>
        <w:rPr>
          <w:rFonts w:hint="eastAsia" w:ascii="Times New Roman" w:hAnsi="Times New Roman" w:eastAsia="仿宋_GB2312"/>
          <w:sz w:val="32"/>
          <w:szCs w:val="32"/>
        </w:rPr>
        <w:t>%，决算数小于预算数的主要原因是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：压缩三公经费，</w:t>
      </w:r>
      <w:r>
        <w:rPr>
          <w:rFonts w:hint="eastAsia" w:ascii="Times New Roman" w:hAnsi="Times New Roman" w:eastAsia="仿宋_GB2312"/>
          <w:sz w:val="32"/>
          <w:szCs w:val="32"/>
        </w:rPr>
        <w:t>与上年相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相同。</w:t>
      </w:r>
    </w:p>
    <w:p w14:paraId="2BB49A36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公务用车购置费支出预算为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由于预算数为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0，无法计算百分比。与本年预算数相同，与上年决算数相同。</w:t>
      </w:r>
    </w:p>
    <w:p w14:paraId="2DA2AD40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公务用车运行维护费支出预算为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由于预算数为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0，无法计算百分比。与本年预算数相同，与上年决算数相同。</w:t>
      </w:r>
    </w:p>
    <w:p w14:paraId="3B282FCC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b/>
          <w:bCs w:val="0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</w:rPr>
        <w:t>（二）“三公”经费财政拨款支出决算具体情况说明</w:t>
      </w:r>
    </w:p>
    <w:p w14:paraId="21FB8CFB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年度“三公”经费财政拨款支出决算中，公务接待费支出决算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0.71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55</w:t>
      </w:r>
      <w:r>
        <w:rPr>
          <w:rFonts w:hint="eastAsia" w:ascii="Times New Roman" w:hAnsi="Times New Roman" w:eastAsia="仿宋_GB2312"/>
          <w:sz w:val="32"/>
          <w:szCs w:val="32"/>
        </w:rPr>
        <w:t>%,因公出国（境）费支出决算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%,公务用车购置费及运行维护费支出决算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%。其中：</w:t>
      </w:r>
    </w:p>
    <w:p w14:paraId="126FB582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楷体" w:hAnsi="楷体" w:eastAsia="仿宋_GB2312" w:cs="楷体"/>
          <w:b/>
          <w:bCs/>
          <w:i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1、</w:t>
      </w:r>
      <w:r>
        <w:rPr>
          <w:rFonts w:hint="eastAsia" w:ascii="Times New Roman" w:hAnsi="Times New Roman" w:eastAsia="仿宋_GB2312"/>
          <w:sz w:val="32"/>
          <w:szCs w:val="32"/>
        </w:rPr>
        <w:t>因公出国（境）费支出决算为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万元，全年安排因公出国（境）团组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个，累计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人次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 w14:paraId="31A0B10B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2、公务接待费支出决算为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0.71</w:t>
      </w:r>
      <w:r>
        <w:rPr>
          <w:rFonts w:hint="eastAsia" w:ascii="Times New Roman" w:hAnsi="Times New Roman" w:eastAsia="仿宋_GB2312"/>
          <w:sz w:val="32"/>
          <w:szCs w:val="32"/>
        </w:rPr>
        <w:t>万元，全年共接待来访团组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个、来宾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150</w:t>
      </w:r>
      <w:r>
        <w:rPr>
          <w:rFonts w:hint="eastAsia" w:ascii="Times New Roman" w:hAnsi="Times New Roman" w:eastAsia="仿宋_GB2312"/>
          <w:sz w:val="32"/>
          <w:szCs w:val="32"/>
        </w:rPr>
        <w:t>人次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主要是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：区、县档案馆业务交流学习、数据库数据维护、重阳节慰问</w:t>
      </w:r>
      <w:r>
        <w:rPr>
          <w:rFonts w:hint="eastAsia" w:ascii="Times New Roman" w:hAnsi="Times New Roman" w:eastAsia="仿宋_GB2312"/>
          <w:sz w:val="32"/>
          <w:szCs w:val="32"/>
        </w:rPr>
        <w:t>发生的接待支出。</w:t>
      </w:r>
    </w:p>
    <w:p w14:paraId="01A0B19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楷体" w:hAnsi="楷体" w:eastAsia="楷体" w:cs="楷体"/>
          <w:b/>
          <w:bCs/>
          <w:i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/>
          <w:sz w:val="32"/>
          <w:szCs w:val="32"/>
        </w:rPr>
        <w:t>3、公务用车购置费及运行维护费支出决算为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万元，其中：公务用车购置费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公务用车运行维护费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万元，截止202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年12月31日，我单位开支财政拨款的公务用车保有量为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辆。</w:t>
      </w:r>
    </w:p>
    <w:p w14:paraId="2B45E3A0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八、政府性基金预算收入支出决算情况</w:t>
      </w:r>
    </w:p>
    <w:p w14:paraId="6C135C71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未发生</w:t>
      </w:r>
      <w:r>
        <w:rPr>
          <w:rFonts w:hint="eastAsia" w:ascii="Times New Roman" w:hAnsi="Times New Roman" w:eastAsia="仿宋_GB2312"/>
          <w:sz w:val="32"/>
          <w:szCs w:val="32"/>
        </w:rPr>
        <w:t>政府性基金预算财政拨款收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支。</w:t>
      </w:r>
    </w:p>
    <w:p w14:paraId="4ABB6067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b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b/>
          <w:color w:val="auto"/>
          <w:sz w:val="32"/>
          <w:szCs w:val="32"/>
        </w:rPr>
        <w:t>九、关于机关运行经费支出说明</w:t>
      </w:r>
    </w:p>
    <w:p w14:paraId="51F04047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本部门202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年度机关运行经费支出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162.33</w:t>
      </w:r>
      <w:r>
        <w:rPr>
          <w:rFonts w:hint="eastAsia" w:ascii="Times New Roman" w:hAnsi="Times New Roman" w:eastAsia="仿宋_GB2312"/>
          <w:sz w:val="32"/>
          <w:szCs w:val="32"/>
        </w:rPr>
        <w:t>万元，比年初预算数（或者上年决算数）减少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19.11</w:t>
      </w:r>
      <w:r>
        <w:rPr>
          <w:rFonts w:hint="eastAsia" w:ascii="Times New Roman" w:hAnsi="Times New Roman" w:eastAsia="仿宋_GB2312"/>
          <w:sz w:val="32"/>
          <w:szCs w:val="32"/>
        </w:rPr>
        <w:t xml:space="preserve"> 万元，降低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10.53</w:t>
      </w:r>
      <w:r>
        <w:rPr>
          <w:rFonts w:hint="eastAsia" w:ascii="Times New Roman" w:hAnsi="Times New Roman" w:eastAsia="仿宋_GB2312"/>
          <w:sz w:val="32"/>
          <w:szCs w:val="32"/>
        </w:rPr>
        <w:t>%。主要原因是：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财政公用预算整体调减。</w:t>
      </w:r>
    </w:p>
    <w:p w14:paraId="6949341A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十、一般性支出情况说明</w:t>
      </w:r>
    </w:p>
    <w:p w14:paraId="6DD1B97A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年本部门开支会议费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万元，开支培训费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未</w:t>
      </w:r>
      <w:r>
        <w:rPr>
          <w:rFonts w:hint="eastAsia" w:ascii="Times New Roman" w:hAnsi="Times New Roman" w:eastAsia="仿宋_GB2312"/>
          <w:sz w:val="32"/>
          <w:szCs w:val="32"/>
        </w:rPr>
        <w:t>举办节庆、晚会、论坛、赛事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等</w:t>
      </w:r>
      <w:r>
        <w:rPr>
          <w:rFonts w:hint="eastAsia" w:ascii="Times New Roman" w:hAnsi="Times New Roman" w:eastAsia="仿宋_GB2312"/>
          <w:sz w:val="32"/>
          <w:szCs w:val="32"/>
        </w:rPr>
        <w:t>活动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 w14:paraId="7561FF5A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十一、关于政府采购支出说明</w:t>
      </w:r>
    </w:p>
    <w:p w14:paraId="73E54410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本部门202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年度政府采购支出总额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/>
          <w:sz w:val="32"/>
          <w:szCs w:val="32"/>
        </w:rPr>
        <w:t>万元，其中：政府采购货物支出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 xml:space="preserve"> 万元、政府采购工程支出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万元、政府采购服务支出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/>
          <w:sz w:val="32"/>
          <w:szCs w:val="32"/>
        </w:rPr>
        <w:t>万元。授予中小企业合同金额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/>
          <w:sz w:val="32"/>
          <w:szCs w:val="32"/>
        </w:rPr>
        <w:t>万元，占政府采购支出总额的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100</w:t>
      </w:r>
      <w:r>
        <w:rPr>
          <w:rFonts w:hint="eastAsia" w:ascii="Times New Roman" w:hAnsi="Times New Roman" w:eastAsia="仿宋_GB2312"/>
          <w:sz w:val="32"/>
          <w:szCs w:val="32"/>
        </w:rPr>
        <w:t>%，其中：授予小微企业合同金额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占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授予中小企业合同金额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的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%。货物采购授予中小企业合同金额占货物支出金额的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%，工程采购授予中小企业合同金额占工程支出金额的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%，服务采购授予中小企业合同金额占服务支出金额的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%。</w:t>
      </w:r>
    </w:p>
    <w:p w14:paraId="2755700C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十二、关于国有资产占用情况说明</w:t>
      </w:r>
    </w:p>
    <w:p w14:paraId="74F9529A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ind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截至202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年12月31日，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本单位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共有车辆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辆，其中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，副部（省）级及以上领导用车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辆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主要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负责人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用车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辆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机要通信用车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辆、应急保障用车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辆、执法执勤用车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辆、特种专业技术用车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辆、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离退休干部服务用车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辆、其他用车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辆，单位价值100万元以上设备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（不含车辆）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台（套）。</w:t>
      </w:r>
    </w:p>
    <w:p w14:paraId="60C47A36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十三、关于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年度</w:t>
      </w:r>
      <w:r>
        <w:rPr>
          <w:rFonts w:hint="eastAsia" w:hAnsi="黑体" w:cs="黑体"/>
          <w:b w:val="0"/>
          <w:bCs/>
          <w:color w:val="auto"/>
          <w:sz w:val="32"/>
          <w:szCs w:val="32"/>
          <w:lang w:eastAsia="zh-CN"/>
        </w:rPr>
        <w:t>预算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绩效情况的说明</w:t>
      </w:r>
    </w:p>
    <w:p w14:paraId="1A920532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（一）绩效管理工作开展情况</w:t>
      </w:r>
    </w:p>
    <w:p w14:paraId="3CC1CBF9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（二）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部门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（单位）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整体支出绩效情况</w:t>
      </w:r>
    </w:p>
    <w:p w14:paraId="33404E4E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总结归纳本部门（单位）支出的绩效目标完成情况，实现产出和取得效益的情况。围绕部门（单位）职责、行业发展规划，以预算资金管理为主线，总结部门（单位）资产管理和开展业务情况，从运行成本、管理效率、履职效能、社会效应、可持续发展能力和服务对象满意度等方面，衡量部门（单位）整体及核心业务实施效果。</w:t>
      </w:r>
    </w:p>
    <w:p w14:paraId="22985704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（三）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存在的问题及原因分析</w:t>
      </w:r>
    </w:p>
    <w:p w14:paraId="5912E62C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可以从预算和预算绩效管理，部门履职效能，资金分配、使用和管理，资产和财务管理、政府采购等方面归纳存在的问题；反映各种预算支出执行偏离绩效目标的情况，并分析其原因。</w:t>
      </w:r>
    </w:p>
    <w:p w14:paraId="456DA589">
      <w:pPr>
        <w:pStyle w:val="13"/>
        <w:jc w:val="both"/>
        <w:rPr>
          <w:sz w:val="72"/>
          <w:szCs w:val="72"/>
        </w:rPr>
      </w:pPr>
    </w:p>
    <w:p w14:paraId="29D084C7">
      <w:pPr>
        <w:pStyle w:val="13"/>
        <w:jc w:val="center"/>
        <w:rPr>
          <w:sz w:val="72"/>
          <w:szCs w:val="72"/>
        </w:rPr>
      </w:pPr>
    </w:p>
    <w:p w14:paraId="73EA930B">
      <w:pPr>
        <w:pStyle w:val="13"/>
        <w:jc w:val="center"/>
        <w:rPr>
          <w:sz w:val="72"/>
          <w:szCs w:val="72"/>
        </w:rPr>
      </w:pPr>
    </w:p>
    <w:p w14:paraId="29D8D78E">
      <w:pPr>
        <w:pStyle w:val="13"/>
        <w:jc w:val="both"/>
        <w:rPr>
          <w:rFonts w:hint="eastAsia" w:ascii="方正小标宋_GBK" w:hAnsi="方正小标宋_GBK" w:eastAsia="方正小标宋_GBK" w:cs="方正小标宋_GBK"/>
          <w:sz w:val="72"/>
          <w:szCs w:val="72"/>
        </w:rPr>
      </w:pPr>
    </w:p>
    <w:p w14:paraId="33A78066">
      <w:pPr>
        <w:pStyle w:val="13"/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</w:p>
    <w:p w14:paraId="0CCCC525">
      <w:pPr>
        <w:pStyle w:val="13"/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  <w:r>
        <w:rPr>
          <w:rFonts w:hint="eastAsia" w:ascii="方正小标宋_GBK" w:hAnsi="方正小标宋_GBK" w:eastAsia="方正小标宋_GBK" w:cs="方正小标宋_GBK"/>
          <w:sz w:val="72"/>
          <w:szCs w:val="72"/>
        </w:rPr>
        <w:t>第四部分</w:t>
      </w:r>
    </w:p>
    <w:p w14:paraId="193E3484">
      <w:pPr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70"/>
          <w:szCs w:val="70"/>
        </w:rPr>
      </w:pPr>
    </w:p>
    <w:p w14:paraId="4C678F1F">
      <w:pPr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70"/>
          <w:szCs w:val="70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70"/>
          <w:szCs w:val="70"/>
        </w:rPr>
        <w:t>名词解释</w:t>
      </w:r>
    </w:p>
    <w:p w14:paraId="608F6A8B">
      <w:pPr>
        <w:widowControl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70"/>
          <w:szCs w:val="70"/>
        </w:rPr>
        <w:br w:type="page"/>
      </w:r>
    </w:p>
    <w:p w14:paraId="6DA880AA">
      <w:pPr>
        <w:ind w:firstLine="640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一、</w:t>
      </w:r>
      <w:r>
        <w:rPr>
          <w:rFonts w:cs="黑体" w:asciiTheme="minorEastAsia" w:hAnsiTheme="minorEastAsia"/>
          <w:color w:val="000000"/>
          <w:kern w:val="0"/>
          <w:sz w:val="32"/>
          <w:szCs w:val="32"/>
        </w:rPr>
        <w:t>……</w:t>
      </w:r>
    </w:p>
    <w:p w14:paraId="4B784A01">
      <w:pPr>
        <w:ind w:firstLine="640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二、</w:t>
      </w:r>
      <w:r>
        <w:rPr>
          <w:rFonts w:cs="黑体" w:asciiTheme="minorEastAsia" w:hAnsiTheme="minorEastAsia"/>
          <w:color w:val="000000"/>
          <w:kern w:val="0"/>
          <w:sz w:val="32"/>
          <w:szCs w:val="32"/>
        </w:rPr>
        <w:t>……</w:t>
      </w:r>
    </w:p>
    <w:p w14:paraId="23B45546">
      <w:pPr>
        <w:ind w:firstLine="640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三、</w:t>
      </w:r>
      <w:r>
        <w:rPr>
          <w:rFonts w:cs="黑体" w:asciiTheme="minorEastAsia" w:hAnsiTheme="minorEastAsia"/>
          <w:color w:val="000000"/>
          <w:kern w:val="0"/>
          <w:sz w:val="32"/>
          <w:szCs w:val="32"/>
        </w:rPr>
        <w:t>……</w:t>
      </w:r>
    </w:p>
    <w:p w14:paraId="4A1C14F1">
      <w:pPr>
        <w:pStyle w:val="13"/>
        <w:ind w:firstLine="640" w:firstLineChars="200"/>
        <w:rPr>
          <w:rFonts w:hint="eastAsia" w:cs="黑体" w:asciiTheme="minorEastAsia" w:hAnsiTheme="minorEastAsia" w:eastAsiaTheme="minorEastAsia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cs="黑体" w:asciiTheme="minorEastAsia" w:hAnsiTheme="minorEastAsia" w:eastAsiaTheme="minorEastAsia"/>
          <w:color w:val="000000"/>
          <w:kern w:val="0"/>
          <w:sz w:val="32"/>
          <w:szCs w:val="32"/>
          <w:lang w:val="en-US" w:eastAsia="zh-CN" w:bidi="ar-SA"/>
        </w:rPr>
        <w:t>………</w:t>
      </w:r>
    </w:p>
    <w:p w14:paraId="66BCD7FB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b/>
          <w:bCs/>
          <w:i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i/>
          <w:color w:val="auto"/>
          <w:kern w:val="0"/>
          <w:sz w:val="32"/>
          <w:szCs w:val="32"/>
          <w:lang w:val="en-US" w:eastAsia="zh-CN" w:bidi="ar-SA"/>
        </w:rPr>
        <w:t>（名词解释应包含本部门专有名词，如省财政厅应有对“财政事务”科目的解释，可参考中央相关部门的名词解释）</w:t>
      </w:r>
    </w:p>
    <w:p w14:paraId="12E7F4FE">
      <w:pPr>
        <w:pStyle w:val="13"/>
        <w:jc w:val="center"/>
        <w:rPr>
          <w:sz w:val="72"/>
          <w:szCs w:val="72"/>
        </w:rPr>
      </w:pPr>
    </w:p>
    <w:p w14:paraId="3962CC07">
      <w:pPr>
        <w:pStyle w:val="13"/>
        <w:jc w:val="center"/>
        <w:rPr>
          <w:sz w:val="72"/>
          <w:szCs w:val="72"/>
        </w:rPr>
      </w:pPr>
    </w:p>
    <w:p w14:paraId="67B5FFDF">
      <w:pPr>
        <w:pStyle w:val="13"/>
        <w:jc w:val="center"/>
        <w:rPr>
          <w:sz w:val="72"/>
          <w:szCs w:val="72"/>
        </w:rPr>
      </w:pPr>
    </w:p>
    <w:p w14:paraId="75306630">
      <w:pPr>
        <w:pStyle w:val="13"/>
        <w:jc w:val="center"/>
        <w:rPr>
          <w:sz w:val="72"/>
          <w:szCs w:val="72"/>
        </w:rPr>
      </w:pPr>
    </w:p>
    <w:p w14:paraId="21FAC56B">
      <w:pPr>
        <w:pStyle w:val="13"/>
        <w:jc w:val="center"/>
        <w:rPr>
          <w:sz w:val="72"/>
          <w:szCs w:val="72"/>
        </w:rPr>
      </w:pPr>
    </w:p>
    <w:p w14:paraId="0EEE882C">
      <w:pPr>
        <w:pStyle w:val="13"/>
        <w:jc w:val="center"/>
        <w:rPr>
          <w:sz w:val="72"/>
          <w:szCs w:val="72"/>
        </w:rPr>
      </w:pPr>
    </w:p>
    <w:p w14:paraId="6862E31E">
      <w:pPr>
        <w:pStyle w:val="13"/>
        <w:jc w:val="center"/>
        <w:rPr>
          <w:sz w:val="72"/>
          <w:szCs w:val="72"/>
        </w:rPr>
      </w:pPr>
    </w:p>
    <w:p w14:paraId="0798F2EC">
      <w:pPr>
        <w:pStyle w:val="13"/>
        <w:jc w:val="center"/>
        <w:rPr>
          <w:sz w:val="72"/>
          <w:szCs w:val="72"/>
        </w:rPr>
      </w:pPr>
    </w:p>
    <w:p w14:paraId="0EE1F713">
      <w:pPr>
        <w:rPr>
          <w:sz w:val="72"/>
          <w:szCs w:val="72"/>
        </w:rPr>
      </w:pPr>
      <w:r>
        <w:rPr>
          <w:sz w:val="72"/>
          <w:szCs w:val="72"/>
        </w:rPr>
        <w:br w:type="page"/>
      </w:r>
    </w:p>
    <w:p w14:paraId="1CFA0F96">
      <w:pPr>
        <w:pStyle w:val="13"/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</w:p>
    <w:p w14:paraId="69D65DFA">
      <w:pPr>
        <w:pStyle w:val="13"/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</w:p>
    <w:p w14:paraId="76E90EFB">
      <w:pPr>
        <w:pStyle w:val="13"/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</w:p>
    <w:p w14:paraId="294B9128">
      <w:pPr>
        <w:pStyle w:val="13"/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</w:p>
    <w:p w14:paraId="62495D4E">
      <w:pPr>
        <w:pStyle w:val="13"/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</w:p>
    <w:p w14:paraId="76828996">
      <w:pPr>
        <w:pStyle w:val="13"/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  <w:r>
        <w:rPr>
          <w:rFonts w:hint="eastAsia" w:ascii="方正小标宋_GBK" w:hAnsi="方正小标宋_GBK" w:eastAsia="方正小标宋_GBK" w:cs="方正小标宋_GBK"/>
          <w:sz w:val="72"/>
          <w:szCs w:val="72"/>
        </w:rPr>
        <w:t>第</w:t>
      </w:r>
      <w:r>
        <w:rPr>
          <w:rFonts w:hint="eastAsia" w:ascii="方正小标宋_GBK" w:hAnsi="方正小标宋_GBK" w:eastAsia="方正小标宋_GBK" w:cs="方正小标宋_GBK"/>
          <w:sz w:val="72"/>
          <w:szCs w:val="72"/>
          <w:lang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72"/>
          <w:szCs w:val="72"/>
        </w:rPr>
        <w:t>部分</w:t>
      </w:r>
    </w:p>
    <w:p w14:paraId="6083EDF6">
      <w:pPr>
        <w:pStyle w:val="13"/>
        <w:jc w:val="center"/>
        <w:rPr>
          <w:rFonts w:hint="eastAsia" w:ascii="方正小标宋_GBK" w:hAnsi="方正小标宋_GBK" w:eastAsia="方正小标宋_GBK" w:cs="方正小标宋_GBK"/>
          <w:sz w:val="70"/>
          <w:szCs w:val="70"/>
        </w:rPr>
      </w:pPr>
    </w:p>
    <w:p w14:paraId="59408686">
      <w:pPr>
        <w:pStyle w:val="13"/>
        <w:jc w:val="center"/>
        <w:rPr>
          <w:rFonts w:hint="eastAsia" w:eastAsia="黑体"/>
          <w:sz w:val="72"/>
          <w:szCs w:val="7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70"/>
          <w:szCs w:val="70"/>
          <w:lang w:eastAsia="zh-CN"/>
        </w:rPr>
        <w:t>附</w:t>
      </w:r>
      <w:r>
        <w:rPr>
          <w:rFonts w:hint="eastAsia" w:ascii="方正小标宋_GBK" w:hAnsi="方正小标宋_GBK" w:eastAsia="方正小标宋_GBK" w:cs="方正小标宋_GBK"/>
          <w:sz w:val="70"/>
          <w:szCs w:val="70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70"/>
          <w:szCs w:val="70"/>
          <w:lang w:eastAsia="zh-CN"/>
        </w:rPr>
        <w:t>件</w:t>
      </w:r>
    </w:p>
    <w:p w14:paraId="3D4D5197">
      <w:pPr>
        <w:rPr>
          <w:rFonts w:hint="eastAsia" w:ascii="华文中宋" w:hAnsi="华文中宋" w:eastAsia="华文中宋" w:cs="黑体"/>
          <w:color w:val="000000"/>
          <w:sz w:val="36"/>
          <w:szCs w:val="32"/>
        </w:rPr>
      </w:pPr>
      <w:r>
        <w:rPr>
          <w:sz w:val="72"/>
          <w:szCs w:val="72"/>
        </w:rPr>
        <w:br w:type="page"/>
      </w:r>
    </w:p>
    <w:p w14:paraId="39F46EFD">
      <w:pPr>
        <w:widowControl/>
        <w:spacing w:line="211" w:lineRule="atLeast"/>
        <w:jc w:val="center"/>
        <w:rPr>
          <w:rFonts w:hint="eastAsia" w:ascii="华文中宋" w:hAnsi="华文中宋" w:eastAsia="华文中宋" w:cs="宋体"/>
          <w:color w:val="000000"/>
          <w:kern w:val="0"/>
          <w:sz w:val="36"/>
          <w:szCs w:val="32"/>
          <w:lang w:eastAsia="zh-CN"/>
        </w:rPr>
      </w:pPr>
      <w:r>
        <w:rPr>
          <w:rFonts w:hint="eastAsia" w:ascii="华文中宋" w:hAnsi="华文中宋" w:eastAsia="华文中宋" w:cs="黑体"/>
          <w:color w:val="000000"/>
          <w:sz w:val="36"/>
          <w:szCs w:val="32"/>
        </w:rPr>
        <w:t>202</w:t>
      </w:r>
      <w:r>
        <w:rPr>
          <w:rFonts w:ascii="华文中宋" w:hAnsi="华文中宋" w:eastAsia="华文中宋" w:cs="黑体"/>
          <w:color w:val="000000"/>
          <w:sz w:val="36"/>
          <w:szCs w:val="32"/>
        </w:rPr>
        <w:t>3</w:t>
      </w:r>
      <w:r>
        <w:rPr>
          <w:rFonts w:hint="eastAsia" w:ascii="华文中宋" w:hAnsi="华文中宋" w:eastAsia="华文中宋" w:cs="黑体"/>
          <w:color w:val="000000"/>
          <w:sz w:val="36"/>
          <w:szCs w:val="32"/>
        </w:rPr>
        <w:t>年度</w:t>
      </w:r>
      <w:r>
        <w:rPr>
          <w:rFonts w:hint="eastAsia" w:ascii="华文中宋" w:hAnsi="华文中宋" w:eastAsia="华文中宋" w:cs="黑体"/>
          <w:color w:val="000000"/>
          <w:sz w:val="36"/>
          <w:szCs w:val="32"/>
          <w:lang w:eastAsia="zh-CN"/>
        </w:rPr>
        <w:t>沅江市档案馆整体支出绩效自评报告</w:t>
      </w:r>
    </w:p>
    <w:p w14:paraId="7D1557A0">
      <w:pPr>
        <w:jc w:val="center"/>
        <w:rPr>
          <w:rFonts w:ascii="仿宋_GB2312" w:hAnsi="华文中宋" w:eastAsia="仿宋_GB2312" w:cs="黑体"/>
          <w:color w:val="000000"/>
          <w:sz w:val="32"/>
          <w:szCs w:val="32"/>
        </w:rPr>
      </w:pPr>
    </w:p>
    <w:p w14:paraId="148141BC">
      <w:pPr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基本情况</w:t>
      </w:r>
    </w:p>
    <w:p w14:paraId="63538211">
      <w:pPr>
        <w:ind w:firstLine="640" w:firstLineChars="200"/>
        <w:rPr>
          <w:rFonts w:hint="default" w:ascii="仿宋_GB2312" w:hAnsi="仿宋" w:eastAsia="仿宋_GB2312" w:cs="仿宋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000000"/>
          <w:sz w:val="32"/>
          <w:szCs w:val="32"/>
          <w:lang w:eastAsia="zh-CN"/>
        </w:rPr>
        <w:t>（一）简要介绍</w:t>
      </w:r>
      <w:r>
        <w:rPr>
          <w:rFonts w:hint="eastAsia" w:ascii="仿宋_GB2312" w:hAnsi="仿宋" w:eastAsia="仿宋_GB2312" w:cs="仿宋"/>
          <w:bCs/>
          <w:color w:val="000000"/>
          <w:sz w:val="32"/>
          <w:szCs w:val="32"/>
          <w:lang w:val="en-US" w:eastAsia="zh-CN"/>
        </w:rPr>
        <w:t>2023年度重点工作</w:t>
      </w:r>
    </w:p>
    <w:p w14:paraId="60A7B183">
      <w:p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000000"/>
          <w:sz w:val="32"/>
          <w:szCs w:val="32"/>
          <w:lang w:eastAsia="zh-CN"/>
        </w:rPr>
        <w:t>沅江市档案馆属全额拨款性质的正科级参公事业单位。现有在职人员</w:t>
      </w:r>
      <w:r>
        <w:rPr>
          <w:rFonts w:hint="eastAsia" w:ascii="仿宋_GB2312" w:hAnsi="仿宋" w:eastAsia="仿宋_GB2312" w:cs="仿宋"/>
          <w:bCs/>
          <w:color w:val="000000"/>
          <w:sz w:val="32"/>
          <w:szCs w:val="32"/>
          <w:lang w:val="en-US" w:eastAsia="zh-CN"/>
        </w:rPr>
        <w:t>12人，退休人员11人。根据沅编发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〔2019〕41号文件规定：内设办公室、接收保管股、利用编研股、信息技术股共四个股室。</w:t>
      </w:r>
    </w:p>
    <w:p w14:paraId="28F9D73D">
      <w:pPr>
        <w:ind w:firstLine="640" w:firstLineChars="200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2023年度重点工作是开展档案接收保管、档案数字化扫描、档案利用工作。</w:t>
      </w:r>
    </w:p>
    <w:p w14:paraId="1AB2137B"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部门整体支出规模、使用方向、主要内容和涉及范围</w:t>
      </w:r>
    </w:p>
    <w:p w14:paraId="61971AC9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市档案馆主要职责：依法开展全市机关、群团组织、企事业单位和其他组织的档案收集工作，科学规范管理档案，负责对馆藏档案资料进行整理和鉴定，编制检索工具，提供查阅利用服务，负责征集社会上具有保存利用价值的档案资料;负责全市重大活动、重大事件、重大项目档案资料的接收工作;负责做好馆藏档案有效保管保护安全工作，开展防火、防盗、防虫等“十防”工作;负责做好馆藏档案的信息化工作，开发档案信息资源;负责档案编研工作，运用编研成果办好爱国主义教育展览基地;完成上级交办的其他工作任务。</w:t>
      </w:r>
    </w:p>
    <w:p w14:paraId="76B09ADD"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主要内容和涉及范围，人员经费包括：基本工资、津贴补贴、奖金、其他社会保障缴费、退休费生活补助、住房公积金等;日常公用经费包括：物业管理费、办公费、差旅费、公务接待费、工会费、其他交通费用、其他商品和服务支出等;项目支出主要包括：办公费、印刷费、差旅费、维护（修）费、劳务费、其他商品和服务支出、办公设备购置。开展各项专项业务工作、党建所发生的全部支出等。</w:t>
      </w:r>
    </w:p>
    <w:p w14:paraId="0B9EA3CF"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二、一般公共预算支出情况</w:t>
      </w:r>
    </w:p>
    <w:p w14:paraId="69F3BA7E">
      <w:pPr>
        <w:numPr>
          <w:ilvl w:val="0"/>
          <w:numId w:val="0"/>
        </w:numPr>
        <w:ind w:firstLine="640" w:firstLineChars="200"/>
        <w:rPr>
          <w:rFonts w:hint="eastAsia" w:ascii="楷体_GB2312" w:hAnsi="楷体_GB2312" w:eastAsia="楷体_GB2312" w:cs="楷体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  <w:lang w:val="en-US" w:eastAsia="zh-CN"/>
        </w:rPr>
        <w:t>（一）基本支出的管理和使用情况</w:t>
      </w:r>
    </w:p>
    <w:p w14:paraId="647986E3"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2023年，本部门年初预算支出198.32万元，比上年减少17.68万元，减少8.21%，减少的主要原因是：整体预算调减。其中：基本支出年初预算134.32万元，比上年度减少6.68万元，减少4.7%;项目支出年度预算64万元，比上年度减少16万元，减少20%。减少变化的主要原因是：整体预算调减。</w:t>
      </w:r>
    </w:p>
    <w:p w14:paraId="55D07B43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2、年初总预算收支情况：2023年度总预算198.32万元，其中基本支出：134.32万元，主要包括：工资福利支出：124.72万元、商品和服务支出:9.6万元。项目支出：64万元，主是业务建设专项经费。</w:t>
      </w:r>
    </w:p>
    <w:p w14:paraId="2426AED5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3、本年度总预算198.32万元财政已全额拨款。</w:t>
      </w:r>
    </w:p>
    <w:p w14:paraId="3FA94933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4、年度预算收入、支出决算及结余情况：</w:t>
      </w:r>
    </w:p>
    <w:p w14:paraId="36053FF8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（1）2023年，预算收入决算216.05万元。其中：财政预算拨款215.75万元，其他收入0.3万元。</w:t>
      </w:r>
    </w:p>
    <w:p w14:paraId="76D7B347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（2）2023年，预算支出决算216.05万元。其中：基本支出完成162.63万元，主要包括：人员经费145.27万元、公用经费17.36万元.项目支出53.42万元，主要包括：各业务项目支出51.11万元。资本性支出2.31万元。</w:t>
      </w:r>
    </w:p>
    <w:p w14:paraId="08BE39B8"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5、“三公经费”情况。今年“三公经费”总支出0.71万元，比去年减少0.35%。</w:t>
      </w:r>
    </w:p>
    <w:p w14:paraId="63F10760"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（二）项目支出情况</w:t>
      </w:r>
    </w:p>
    <w:p w14:paraId="5AACF84C">
      <w:p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1、根据湘办发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〔2014〕29号文件及湘政办函〔2015〕42号文件精神，落实好湖南省人民政府办公厅印发《关于加强和改进新形势下档案工作的实施意见》的通知，做好洞庭生态经济区专题档案资源数据建设的有关工作的通知。根据省、市档案主管部门及沅办发〔2007〕6号文件规定，做好档案信息、珍贵档案征集及抢护、专用设备维修维护等工作。</w:t>
      </w:r>
    </w:p>
    <w:p w14:paraId="51138F2D">
      <w:p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2、资金管理和使用情况</w:t>
      </w:r>
    </w:p>
    <w:p w14:paraId="1B8C45A4">
      <w:p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（1）专项预算收入：我馆属于全额拨款的参公事业单位，年初财政预算专项资金64万元已全部拨付到位。</w:t>
      </w:r>
    </w:p>
    <w:p w14:paraId="7A63E7DB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（2）专项预算支出决算53.42万。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主要包括：各业务项目支出51.11万元。资本性支出2.31万元。</w:t>
      </w:r>
    </w:p>
    <w:p w14:paraId="44ED1094">
      <w:pPr>
        <w:ind w:firstLine="640" w:firstLineChars="200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三、政府性基金预算支出情况</w:t>
      </w:r>
    </w:p>
    <w:p w14:paraId="79E54D80">
      <w:p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我馆无政府性基金预算支出资金。</w:t>
      </w:r>
    </w:p>
    <w:p w14:paraId="1EC26801">
      <w:pPr>
        <w:ind w:firstLine="640" w:firstLineChars="200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四、国有资本经营预算支出情况</w:t>
      </w:r>
    </w:p>
    <w:p w14:paraId="5A462CC3">
      <w:p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我馆属于全额拨款的参公事业单位，无国有资本经营收入情况。</w:t>
      </w:r>
    </w:p>
    <w:p w14:paraId="4E3AB05B">
      <w:p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五、社会保险基金预算支出情况</w:t>
      </w:r>
    </w:p>
    <w:p w14:paraId="0CA2F165">
      <w:p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我馆属于全额拨款的参公事业单位，无社会保险基金预算支出情况。</w:t>
      </w:r>
    </w:p>
    <w:p w14:paraId="661124EE"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六、部门整体支出绩效情况</w:t>
      </w:r>
    </w:p>
    <w:p w14:paraId="3EE81669"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根据市财政局要求，我馆以绩效评估为契机，认真对照评估指标，按照年度工作计划扎实推进2023年度财政支出绩效自评工作。总的来说，2023年我馆全体干部积极履职、扎实工作，较好完成了全年工作目标。</w:t>
      </w:r>
    </w:p>
    <w:p w14:paraId="37D32F08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（一）产出指标（50分）</w:t>
      </w:r>
    </w:p>
    <w:p w14:paraId="192B03B4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按年初预算认真完成了人员的基本工资、津贴补贴、奖金、其他社会保障缴费、退休费生活补助、住房公积金等;保障了人员工资发放到位，提高档案利用效率。该项自评分计48分。偏差原因：因为退休人的节假慰问物资未纳入预算，占用了专项资。</w:t>
      </w:r>
    </w:p>
    <w:p w14:paraId="3216A100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（二）效益指标（30分）</w:t>
      </w:r>
    </w:p>
    <w:p w14:paraId="58F95551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加快了数字化工作，更好的保护了馆藏档案的完好率，提高了档案的利用率。该项自评分计30分。</w:t>
      </w:r>
    </w:p>
    <w:p w14:paraId="68C7421E">
      <w:pPr>
        <w:widowControl w:val="0"/>
        <w:numPr>
          <w:ilvl w:val="0"/>
          <w:numId w:val="3"/>
        </w:num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满意度指标（10分）</w:t>
      </w:r>
    </w:p>
    <w:p w14:paraId="21F10B93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丰富了馆藏档案，提高档案利用效率，便利群众查阅档案，满意度好。该项自评分计10分。</w:t>
      </w:r>
    </w:p>
    <w:p w14:paraId="3D9A35DB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（四）成本指标（10分）</w:t>
      </w:r>
    </w:p>
    <w:p w14:paraId="7BE8B4E9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按年初预算保障人员工资发放到位，档案业务工作顺利进行，群众满意度高。该项自评分计10分。</w:t>
      </w:r>
    </w:p>
    <w:p w14:paraId="33C087F5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七、存在的问题及原因分析</w:t>
      </w:r>
    </w:p>
    <w:p w14:paraId="72C7A7DC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1、项目建设程序有待进一步规范。</w:t>
      </w:r>
    </w:p>
    <w:p w14:paraId="7E8F045D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2、需加强专业业务与专业技术的学习。</w:t>
      </w:r>
    </w:p>
    <w:p w14:paraId="42FE2470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3、项目后续管理有待进一步加强。</w:t>
      </w:r>
    </w:p>
    <w:p w14:paraId="065868F1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八、下一步改进措施</w:t>
      </w:r>
    </w:p>
    <w:p w14:paraId="793F2C3E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1、进一步完善、明确和细化各项费用支出管理制度，严格控制招待费和各项费用支出。</w:t>
      </w:r>
    </w:p>
    <w:p w14:paraId="0CA2F9ED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2、加强固定资产的管理，配置专管部门和专管人员，建立固定资产卡片，切实做到账卡相符、账物相符。</w:t>
      </w:r>
    </w:p>
    <w:p w14:paraId="63D47CBB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3、加强内部管理，增强有效控制力。</w:t>
      </w:r>
    </w:p>
    <w:p w14:paraId="179AE510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 w14:paraId="041A4C52">
      <w:pPr>
        <w:pStyle w:val="13"/>
        <w:jc w:val="center"/>
        <w:rPr>
          <w:sz w:val="72"/>
          <w:szCs w:val="72"/>
        </w:rPr>
      </w:pPr>
    </w:p>
    <w:p w14:paraId="7EA77C4D">
      <w:pPr>
        <w:pStyle w:val="13"/>
        <w:jc w:val="center"/>
        <w:rPr>
          <w:sz w:val="72"/>
          <w:szCs w:val="72"/>
        </w:rPr>
      </w:pPr>
    </w:p>
    <w:p w14:paraId="4D097E8E">
      <w:pPr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5D49C8-20FC-466B-94D3-7E10FDB0466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94D6C05-58F3-437D-92DD-5933CF24C909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46242903-5EC5-45E7-9EED-1CF8A30879A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00FB435-CFF9-43E2-ACC8-930B00982EA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3787DDBE-14D0-40FD-B51C-9CA8CA016C88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6" w:fontKey="{D4F41E85-21A1-416C-9E91-B4DA3A57696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BA95E0E7-9CFF-4821-8EE6-FFD95668904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930E4DD4-86B1-40B0-8100-E544D52DA9D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4647CE"/>
    <w:multiLevelType w:val="singleLevel"/>
    <w:tmpl w:val="9D4647C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B387659"/>
    <w:multiLevelType w:val="singleLevel"/>
    <w:tmpl w:val="FB38765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73518C1"/>
    <w:multiLevelType w:val="multilevel"/>
    <w:tmpl w:val="373518C1"/>
    <w:lvl w:ilvl="0" w:tentative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5ZWE1MDZhMWI3Y2EzYTgyOTA3YWY2ZjFlMzYwNmIifQ=="/>
  </w:docVars>
  <w:rsids>
    <w:rsidRoot w:val="004506F9"/>
    <w:rsid w:val="0002229B"/>
    <w:rsid w:val="000273BD"/>
    <w:rsid w:val="00040CBC"/>
    <w:rsid w:val="000415B7"/>
    <w:rsid w:val="00041E3F"/>
    <w:rsid w:val="00055DAA"/>
    <w:rsid w:val="00061F7B"/>
    <w:rsid w:val="000658A3"/>
    <w:rsid w:val="00074155"/>
    <w:rsid w:val="000A3F69"/>
    <w:rsid w:val="00103957"/>
    <w:rsid w:val="00152C6D"/>
    <w:rsid w:val="00162D39"/>
    <w:rsid w:val="001678BD"/>
    <w:rsid w:val="00182373"/>
    <w:rsid w:val="001A67DB"/>
    <w:rsid w:val="001C3C29"/>
    <w:rsid w:val="001D51E5"/>
    <w:rsid w:val="001E080D"/>
    <w:rsid w:val="001E53D0"/>
    <w:rsid w:val="001F0C3B"/>
    <w:rsid w:val="00202C82"/>
    <w:rsid w:val="00214427"/>
    <w:rsid w:val="00226CB7"/>
    <w:rsid w:val="00264552"/>
    <w:rsid w:val="00264EF9"/>
    <w:rsid w:val="00265724"/>
    <w:rsid w:val="0027426B"/>
    <w:rsid w:val="002E0A30"/>
    <w:rsid w:val="003130C4"/>
    <w:rsid w:val="00316C4B"/>
    <w:rsid w:val="0032192B"/>
    <w:rsid w:val="003479BD"/>
    <w:rsid w:val="0037197D"/>
    <w:rsid w:val="003768D5"/>
    <w:rsid w:val="003926B9"/>
    <w:rsid w:val="003C47E6"/>
    <w:rsid w:val="003C4FC2"/>
    <w:rsid w:val="00416E61"/>
    <w:rsid w:val="0042790C"/>
    <w:rsid w:val="004506F9"/>
    <w:rsid w:val="004717A2"/>
    <w:rsid w:val="00473DF3"/>
    <w:rsid w:val="00487911"/>
    <w:rsid w:val="00491741"/>
    <w:rsid w:val="004B0CEE"/>
    <w:rsid w:val="00500E5F"/>
    <w:rsid w:val="005122EF"/>
    <w:rsid w:val="0051441A"/>
    <w:rsid w:val="00517C33"/>
    <w:rsid w:val="00517D5F"/>
    <w:rsid w:val="00523644"/>
    <w:rsid w:val="0054069E"/>
    <w:rsid w:val="00544866"/>
    <w:rsid w:val="005767CC"/>
    <w:rsid w:val="00590D9F"/>
    <w:rsid w:val="00595D26"/>
    <w:rsid w:val="005A74E6"/>
    <w:rsid w:val="005B404E"/>
    <w:rsid w:val="005D4D55"/>
    <w:rsid w:val="005E2CFB"/>
    <w:rsid w:val="005F2103"/>
    <w:rsid w:val="005F3D1C"/>
    <w:rsid w:val="0062378F"/>
    <w:rsid w:val="00641842"/>
    <w:rsid w:val="00651EEC"/>
    <w:rsid w:val="00686673"/>
    <w:rsid w:val="00691E8C"/>
    <w:rsid w:val="006A22C4"/>
    <w:rsid w:val="006A351B"/>
    <w:rsid w:val="006B0422"/>
    <w:rsid w:val="006C1B53"/>
    <w:rsid w:val="006D7730"/>
    <w:rsid w:val="006E5284"/>
    <w:rsid w:val="006F3EB5"/>
    <w:rsid w:val="00702E34"/>
    <w:rsid w:val="00704395"/>
    <w:rsid w:val="00710FE7"/>
    <w:rsid w:val="00717621"/>
    <w:rsid w:val="00720FF1"/>
    <w:rsid w:val="00727A53"/>
    <w:rsid w:val="00787B42"/>
    <w:rsid w:val="007C4539"/>
    <w:rsid w:val="007F3657"/>
    <w:rsid w:val="00812ED5"/>
    <w:rsid w:val="008277D9"/>
    <w:rsid w:val="0084478C"/>
    <w:rsid w:val="0086638C"/>
    <w:rsid w:val="008A3E8D"/>
    <w:rsid w:val="009237C4"/>
    <w:rsid w:val="00944C48"/>
    <w:rsid w:val="00950252"/>
    <w:rsid w:val="00967F5D"/>
    <w:rsid w:val="009A0F95"/>
    <w:rsid w:val="009B3ADF"/>
    <w:rsid w:val="009C3B52"/>
    <w:rsid w:val="009E6817"/>
    <w:rsid w:val="009E6E9A"/>
    <w:rsid w:val="00A01D2B"/>
    <w:rsid w:val="00A42218"/>
    <w:rsid w:val="00A70249"/>
    <w:rsid w:val="00A70B02"/>
    <w:rsid w:val="00A71D9F"/>
    <w:rsid w:val="00A92E9F"/>
    <w:rsid w:val="00AB18FF"/>
    <w:rsid w:val="00B33BEA"/>
    <w:rsid w:val="00B57C9F"/>
    <w:rsid w:val="00B63572"/>
    <w:rsid w:val="00B845B3"/>
    <w:rsid w:val="00B85D8B"/>
    <w:rsid w:val="00BB4A40"/>
    <w:rsid w:val="00BD6C3E"/>
    <w:rsid w:val="00BE3674"/>
    <w:rsid w:val="00C10681"/>
    <w:rsid w:val="00C3049A"/>
    <w:rsid w:val="00C31B1E"/>
    <w:rsid w:val="00C77645"/>
    <w:rsid w:val="00CE04C3"/>
    <w:rsid w:val="00CE76A0"/>
    <w:rsid w:val="00D148C6"/>
    <w:rsid w:val="00D17A8A"/>
    <w:rsid w:val="00D415BA"/>
    <w:rsid w:val="00D63780"/>
    <w:rsid w:val="00D644EE"/>
    <w:rsid w:val="00DD06FF"/>
    <w:rsid w:val="00DD5FE9"/>
    <w:rsid w:val="00E00C7A"/>
    <w:rsid w:val="00E37D6C"/>
    <w:rsid w:val="00E55B68"/>
    <w:rsid w:val="00E561AE"/>
    <w:rsid w:val="00E67BE6"/>
    <w:rsid w:val="00E8683C"/>
    <w:rsid w:val="00EA2B72"/>
    <w:rsid w:val="00F74360"/>
    <w:rsid w:val="00FB462F"/>
    <w:rsid w:val="00FE16FA"/>
    <w:rsid w:val="00FE328A"/>
    <w:rsid w:val="00FE6269"/>
    <w:rsid w:val="00FF5CD6"/>
    <w:rsid w:val="0A200529"/>
    <w:rsid w:val="0D006A41"/>
    <w:rsid w:val="160A26DF"/>
    <w:rsid w:val="16A0364E"/>
    <w:rsid w:val="1D97DEFF"/>
    <w:rsid w:val="1DFF72E5"/>
    <w:rsid w:val="1E9516DF"/>
    <w:rsid w:val="1EFC6F07"/>
    <w:rsid w:val="23D9206E"/>
    <w:rsid w:val="28ED65F8"/>
    <w:rsid w:val="2FDF85B8"/>
    <w:rsid w:val="2FFFEE04"/>
    <w:rsid w:val="314D409C"/>
    <w:rsid w:val="334E5EA9"/>
    <w:rsid w:val="34DF85B0"/>
    <w:rsid w:val="382954E2"/>
    <w:rsid w:val="3B8F36BC"/>
    <w:rsid w:val="3FB47094"/>
    <w:rsid w:val="491FF225"/>
    <w:rsid w:val="4A1E1CDA"/>
    <w:rsid w:val="4A6022F2"/>
    <w:rsid w:val="4D0207EE"/>
    <w:rsid w:val="4D3E0C7C"/>
    <w:rsid w:val="4FFD214C"/>
    <w:rsid w:val="51C413B8"/>
    <w:rsid w:val="5777D4F5"/>
    <w:rsid w:val="59DD8326"/>
    <w:rsid w:val="5B6104B5"/>
    <w:rsid w:val="5DEF592A"/>
    <w:rsid w:val="5FC6BB1E"/>
    <w:rsid w:val="5FF720F1"/>
    <w:rsid w:val="62791D4B"/>
    <w:rsid w:val="62BD03A2"/>
    <w:rsid w:val="67FF5C0B"/>
    <w:rsid w:val="6A0709B4"/>
    <w:rsid w:val="6EFC0924"/>
    <w:rsid w:val="6FB74722"/>
    <w:rsid w:val="6FEF8B7E"/>
    <w:rsid w:val="71A6591B"/>
    <w:rsid w:val="737D59BA"/>
    <w:rsid w:val="73C848E1"/>
    <w:rsid w:val="77C37683"/>
    <w:rsid w:val="79FF515B"/>
    <w:rsid w:val="7C635AEE"/>
    <w:rsid w:val="7CA26617"/>
    <w:rsid w:val="7D250FF6"/>
    <w:rsid w:val="7E9E1962"/>
    <w:rsid w:val="7E9F11B4"/>
    <w:rsid w:val="7F37EC1E"/>
    <w:rsid w:val="7F7DCD9D"/>
    <w:rsid w:val="7F970A6F"/>
    <w:rsid w:val="7FC1FFF3"/>
    <w:rsid w:val="7FC69637"/>
    <w:rsid w:val="7FDF8620"/>
    <w:rsid w:val="7FFB242F"/>
    <w:rsid w:val="7FFDB408"/>
    <w:rsid w:val="7FFE4EEB"/>
    <w:rsid w:val="95FB2B98"/>
    <w:rsid w:val="9A639BC2"/>
    <w:rsid w:val="9FF7D786"/>
    <w:rsid w:val="ABBFB23D"/>
    <w:rsid w:val="C3B4DA5A"/>
    <w:rsid w:val="CBFF70E0"/>
    <w:rsid w:val="CFF50B82"/>
    <w:rsid w:val="CFFFAD89"/>
    <w:rsid w:val="DFFE359E"/>
    <w:rsid w:val="DFFE4FFD"/>
    <w:rsid w:val="EEABED75"/>
    <w:rsid w:val="F56FDF51"/>
    <w:rsid w:val="F6B69F17"/>
    <w:rsid w:val="F77F1D61"/>
    <w:rsid w:val="F7FED3A9"/>
    <w:rsid w:val="F8C9DB26"/>
    <w:rsid w:val="F97E8EAE"/>
    <w:rsid w:val="FB36E1A6"/>
    <w:rsid w:val="FB3BE134"/>
    <w:rsid w:val="FCFF4275"/>
    <w:rsid w:val="FD7FEEEA"/>
    <w:rsid w:val="FDFFB577"/>
    <w:rsid w:val="FEEA50FE"/>
    <w:rsid w:val="FF7D47A9"/>
    <w:rsid w:val="FFCF21CB"/>
    <w:rsid w:val="FFFF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widowControl w:val="0"/>
      <w:jc w:val="both"/>
    </w:pPr>
    <w:rPr>
      <w:rFonts w:ascii="Calibri" w:hAnsi="Calibri" w:eastAsia="宋体"/>
      <w:kern w:val="2"/>
      <w:sz w:val="32"/>
      <w:szCs w:val="32"/>
      <w:lang w:val="en-US" w:eastAsia="zh-CN" w:bidi="ar-SA"/>
    </w:rPr>
  </w:style>
  <w:style w:type="paragraph" w:styleId="3">
    <w:name w:val="Body Text Indent"/>
    <w:basedOn w:val="1"/>
    <w:next w:val="4"/>
    <w:unhideWhenUsed/>
    <w:qFormat/>
    <w:uiPriority w:val="99"/>
    <w:pPr>
      <w:widowControl/>
      <w:spacing w:after="120"/>
      <w:ind w:left="420" w:leftChars="200"/>
      <w:jc w:val="left"/>
    </w:pPr>
    <w:rPr>
      <w:rFonts w:ascii="宋体" w:hAnsi="宋体" w:eastAsia="宋体" w:cs="宋体"/>
      <w:kern w:val="0"/>
      <w:sz w:val="24"/>
    </w:rPr>
  </w:style>
  <w:style w:type="paragraph" w:styleId="4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next w:val="4"/>
    <w:semiHidden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1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qFormat/>
    <w:uiPriority w:val="99"/>
    <w:rPr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6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2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font1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27</Pages>
  <Words>8242</Words>
  <Characters>10410</Characters>
  <Lines>63</Lines>
  <Paragraphs>18</Paragraphs>
  <TotalTime>19</TotalTime>
  <ScaleCrop>false</ScaleCrop>
  <LinksUpToDate>false</LinksUpToDate>
  <CharactersWithSpaces>11322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2020-07-08T02:32:00Z</dcterms:created>
  <dc:creator>李航 null</dc:creator>
  <cp:lastModifiedBy>邓菡</cp:lastModifiedBy>
  <cp:lastPrinted>2024-08-08T10:20:00Z</cp:lastPrinted>
  <dcterms:modified xsi:type="dcterms:W3CDTF">2024-08-22T08:51:14Z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936B107D9C4F4926A1456614D6FA8BCB_12</vt:lpwstr>
  </property>
</Properties>
</file>