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0" w:lineRule="exact"/>
        <w:jc w:val="center"/>
        <w:rPr>
          <w:b/>
          <w:sz w:val="36"/>
          <w:szCs w:val="36"/>
        </w:rPr>
      </w:pPr>
      <w:r>
        <w:rPr>
          <w:rFonts w:hint="eastAsia" w:hAnsi="黑体"/>
          <w:b/>
          <w:sz w:val="36"/>
          <w:szCs w:val="36"/>
        </w:rPr>
        <w:t>目录</w:t>
      </w:r>
    </w:p>
    <w:p>
      <w:pPr>
        <w:pStyle w:val="4"/>
        <w:spacing w:line="500" w:lineRule="exact"/>
        <w:rPr>
          <w:rFonts w:hint="eastAsia"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 xml:space="preserve">第一部分 </w:t>
      </w:r>
      <w:r>
        <w:rPr>
          <w:rFonts w:hint="eastAsia" w:hAnsi="黑体"/>
          <w:bCs/>
          <w:sz w:val="28"/>
          <w:szCs w:val="28"/>
          <w:lang w:eastAsia="zh-CN"/>
        </w:rPr>
        <w:t>沅江市水运事务中心</w:t>
      </w:r>
      <w:r>
        <w:rPr>
          <w:rFonts w:hint="eastAsia" w:hAnsi="黑体"/>
          <w:bCs/>
          <w:sz w:val="28"/>
          <w:szCs w:val="28"/>
        </w:rPr>
        <w:t>概况</w:t>
      </w:r>
    </w:p>
    <w:p>
      <w:pPr>
        <w:pStyle w:val="4"/>
        <w:spacing w:line="500" w:lineRule="exact"/>
        <w:ind w:firstLine="700" w:firstLineChars="250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一、部门职责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二、机构设置</w:t>
      </w:r>
    </w:p>
    <w:p>
      <w:pPr>
        <w:pStyle w:val="4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第二部分 部门决算表</w:t>
      </w:r>
    </w:p>
    <w:p>
      <w:pPr>
        <w:pStyle w:val="4"/>
        <w:spacing w:line="500" w:lineRule="exact"/>
        <w:ind w:firstLine="700" w:firstLineChars="250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二、收入决算表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三、支出决算表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四、财政拨款收入支出决算总表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五、一般公共预算财政拨款支出决算表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六、一般公共预算财政拨款基本支出决算明细表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七、政府性基金预算财政拨款收入支出决算表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八、国有资本经营预算财政拨款支出决算表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九、财政拨款“三公”经费支出决算表</w:t>
      </w:r>
    </w:p>
    <w:p>
      <w:pPr>
        <w:pStyle w:val="4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第三部分 部门决算情况说明</w:t>
      </w:r>
    </w:p>
    <w:p>
      <w:pPr>
        <w:pStyle w:val="4"/>
        <w:spacing w:line="500" w:lineRule="exact"/>
        <w:ind w:firstLine="700" w:firstLineChars="250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一、收入支出决算总体情况说明</w:t>
      </w:r>
    </w:p>
    <w:p>
      <w:pPr>
        <w:spacing w:line="500" w:lineRule="exact"/>
        <w:ind w:firstLine="700" w:firstLineChars="250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八、政府性基金预算收入支出决算情况</w:t>
      </w:r>
    </w:p>
    <w:bookmarkEnd w:id="0"/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九、关于机关运行经费支出说明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十、一般性支出情况说明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十一、关于政府采购支出说明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十二、关于国有资产占用情况说明</w:t>
      </w:r>
    </w:p>
    <w:p>
      <w:pPr>
        <w:pStyle w:val="4"/>
        <w:spacing w:line="500" w:lineRule="exact"/>
        <w:ind w:firstLine="700" w:firstLineChars="25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十三、关于预算绩效情况的说明</w:t>
      </w:r>
    </w:p>
    <w:p>
      <w:pPr>
        <w:pStyle w:val="4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第四部分 名词解释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xNTM4MjE5MDE0NTFhOGVlYTIxMGY4N2QzNzliZmEifQ=="/>
  </w:docVars>
  <w:rsids>
    <w:rsidRoot w:val="001239FB"/>
    <w:rsid w:val="001239FB"/>
    <w:rsid w:val="005F5AF1"/>
    <w:rsid w:val="58262DCD"/>
    <w:rsid w:val="6D563478"/>
    <w:rsid w:val="6E98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uiPriority w:val="0"/>
    <w:pPr>
      <w:autoSpaceDE w:val="0"/>
      <w:autoSpaceDN w:val="0"/>
      <w:adjustRightInd w:val="0"/>
      <w:jc w:val="left"/>
    </w:pPr>
    <w:rPr>
      <w:rFonts w:ascii="黑体" w:eastAsia="黑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392</Words>
  <Characters>392</Characters>
  <Lines>3</Lines>
  <Paragraphs>1</Paragraphs>
  <TotalTime>0</TotalTime>
  <ScaleCrop>false</ScaleCrop>
  <LinksUpToDate>false</LinksUpToDate>
  <CharactersWithSpaces>396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2023-08-25T02:10:00Z</dcterms:created>
  <dc:creator>Administrator</dc:creator>
  <cp:lastModifiedBy>WPS_1481860299</cp:lastModifiedBy>
  <dcterms:modified xsi:type="dcterms:W3CDTF">2023-08-30T02:48:29Z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4508B528F23A47DA9B35CDA8AEEE0FAC_12</vt:lpwstr>
  </property>
</Properties>
</file>