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FBgAAAAAAAAAAAAAAAAAAAAAAAFBLAwQKAAAAAACHTuJAAAAAAAAAAAAAAAAABAAAAGRycy9Q&#10;SwMEFAAAAAgAh07iQHLwJlDWAAAACgEAAA8AAABkcnMvZG93bnJldi54bWxNj8tqwzAQRfeF/oOY&#10;QHeJZMfEwbWcRaHbQpM0a8VSLRNpZCTl+fWdrtrdDHO4c267uXnHLiamMaCEYiGAGeyDHnGQsN+9&#10;z9fAUlaolQtoJNxNgk33/NSqRocrfprLNg+MQjA1SoLNeWo4T701XqVFmAzS7TtErzKtceA6qiuF&#10;e8dLIVbcqxHpg1WTebOmP23PXsJh8I/DVzFFq72r8ONx3+3DKOXLrBCvwLK55T8YfvVJHTpyOoYz&#10;6sSchPmyLgmloVpRByJKUdbAjhKWVQ28a/n/Ct0PUEsDBBQAAAAIAIdO4kBHv5PHVwIAAJoEAAAO&#10;AAAAZHJzL2Uyb0RvYy54bWytVM1uEzEQviPxDpbvZPPTTUmUTRUaBSFVtFJBnB2vN2vJ9hjbyW54&#10;AHgDTly481x9DsbebVMKhx7IwRl7vnwz3/xkcdFqRQ7CeQmmoKPBkBJhOJTS7Ar68cPm1WtKfGCm&#10;ZAqMKOhReHqxfPli0di5GEMNqhSOIInx88YWtA7BzrPM81po5gdghUFnBU6zgFe3y0rHGmTXKhsP&#10;h9OsAVdaB1x4j6/rzkl7RvccQqgqycUa+F4LEzpWJxQLKMnX0nq6TNlWleDhuqq8CEQVFJWGdGIQ&#10;tLfxzJYLNt85ZmvJ+xTYc1J4okkzaTDoA9WaBUb2Tv5FpSV34KEKAw4664SkiqCK0fBJbW5rZkXS&#10;gqX29qHo/v/R8veHG0dkiZNAiWEaG373/dvdj193P7+SUSxPY/0cUbcWcaF9A22E9u8eH6PqtnI6&#10;fqMeEv3ns1k+wxIfCzqb5DM0U51FGwiP/nw8mUxzSjgC8tF5Ps4jIDsRWefDWwGaRKOgDvuYyssO&#10;Vz500HtIjOtByXIjlUoXt9teKkcODHu+SZ+e/Q+YMqQp6HSSDxOzgfj7jloZTCbq7vRFK7TbFp3R&#10;3EJ5xFo46IbJW76RmOUV8+GGOZweFI77Fa7xqBRgEOgtSmpwX/71HvHYVPRS0uA0FtR/3jMnKFHv&#10;DLZ7Njo7i+ObLmf5+Rgv7rFn+9hj9voSUDy2FLNLZsQHdW9WDvQnXMNVjIouZjjGLmi4Ny9DtyO4&#10;xlysVgmEA2tZuDK3lkfqWGoDq32ASqaWnGrTVw9HNjW1X6+4E4/vCXX6S1n+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BYAAABkcnMvUEsB&#10;AhQAFAAAAAgAh07iQHLwJlDWAAAACgEAAA8AAAAAAAAAAQAgAAAAOAAAAGRycy9kb3ducmV2Lnht&#10;bFBLAQIUABQAAAAIAIdO4kBHv5PHVwIAAJoEAAAOAAAAAAAAAAEAIAAAADsBAABkcnMvZTJvRG9j&#10;LnhtbFBLBQYAAAAABgAGAFkBAAAEBgAAAAA=&#10;">
                <v:fill on="t" focussize="0,0"/>
                <v:stroke on="f" weight="0.5pt"/>
                <v:imagedata o:title=""/>
                <o:lock v:ext="edit" aspectratio="f"/>
                <v:textbox>
                  <w:txbxContent>
                    <w:p>
                      <w:pPr>
                        <w:rPr>
                          <w:rFonts w:hint="eastAsia" w:ascii="楷体" w:hAnsi="楷体" w:eastAsia="楷体" w:cs="楷体"/>
                          <w:sz w:val="30"/>
                          <w:szCs w:val="30"/>
                          <w:lang w:val="en-US" w:eastAsia="zh-CN"/>
                        </w:rPr>
                      </w:pPr>
                    </w:p>
                  </w:txbxContent>
                </v:textbox>
              </v:shape>
            </w:pict>
          </mc:Fallback>
        </mc:AlternateContent>
      </w: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r>
        <w:rPr>
          <w:rFonts w:hint="eastAsia" w:ascii="方正小标宋_GBK" w:hAnsi="方正小标宋_GBK" w:eastAsia="方正小标宋_GBK" w:cs="方正小标宋_GBK"/>
          <w:sz w:val="84"/>
          <w:szCs w:val="84"/>
          <w:lang w:eastAsia="zh-CN"/>
        </w:rPr>
        <w:t>沅江市</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库区移民事务中心</w:t>
      </w:r>
      <w:r>
        <w:rPr>
          <w:rFonts w:hint="eastAsia" w:ascii="方正小标宋_GBK" w:hAnsi="方正小标宋_GBK" w:eastAsia="方正小标宋_GBK" w:cs="方正小标宋_GBK"/>
          <w:sz w:val="84"/>
          <w:szCs w:val="84"/>
        </w:rPr>
        <w:t>部门决算</w:t>
      </w:r>
    </w:p>
    <w:p>
      <w:pPr>
        <w:pStyle w:val="13"/>
        <w:jc w:val="center"/>
        <w:rPr>
          <w:rFonts w:hint="eastAsia" w:ascii="方正小标宋_GBK" w:hAnsi="方正小标宋_GBK" w:eastAsia="方正小标宋_GBK" w:cs="方正小标宋_GBK"/>
          <w:sz w:val="56"/>
          <w:szCs w:val="56"/>
        </w:rPr>
      </w:pPr>
    </w:p>
    <w:p>
      <w:pPr>
        <w:pStyle w:val="13"/>
        <w:jc w:val="center"/>
        <w:rPr>
          <w:sz w:val="56"/>
          <w:szCs w:val="56"/>
        </w:rPr>
      </w:pPr>
    </w:p>
    <w:p>
      <w:pPr>
        <w:pStyle w:val="13"/>
        <w:jc w:val="center"/>
        <w:rPr>
          <w:sz w:val="56"/>
          <w:szCs w:val="56"/>
        </w:rPr>
      </w:pPr>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单位概况</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bookmarkStart w:id="3" w:name="_GoBack"/>
      <w:bookmarkEnd w:id="3"/>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pPr>
        <w:pStyle w:val="13"/>
        <w:jc w:val="both"/>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p>
    <w:p>
      <w:pPr>
        <w:pStyle w:val="13"/>
        <w:ind w:firstLine="3360" w:firstLineChars="400"/>
        <w:jc w:val="both"/>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沅江市库区移民事务中心</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单位</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both"/>
        <w:rPr>
          <w:sz w:val="72"/>
          <w:szCs w:val="72"/>
        </w:rPr>
      </w:pPr>
    </w:p>
    <w:p>
      <w:pPr>
        <w:pStyle w:val="2"/>
      </w:pPr>
    </w:p>
    <w:p>
      <w:pPr>
        <w:pStyle w:val="2"/>
        <w:rPr>
          <w:sz w:val="72"/>
          <w:szCs w:val="72"/>
        </w:rPr>
      </w:pPr>
    </w:p>
    <w:p>
      <w:pPr>
        <w:pStyle w:val="3"/>
        <w:rPr>
          <w:rFonts w:hint="eastAsia" w:eastAsia="宋体"/>
          <w:lang w:val="en-US" w:eastAsia="zh-CN"/>
        </w:rPr>
      </w:pPr>
      <w:r>
        <w:rPr>
          <w:rFonts w:hint="eastAsia"/>
          <w:sz w:val="72"/>
          <w:szCs w:val="72"/>
          <w:lang w:val="en-US" w:eastAsia="zh-CN"/>
        </w:rPr>
        <w:t xml:space="preserve"> </w:t>
      </w:r>
    </w:p>
    <w:p>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pStyle w:val="8"/>
        <w:shd w:val="clear" w:color="auto" w:fill="FFFFFF"/>
        <w:spacing w:before="0" w:beforeAutospacing="0" w:after="0" w:afterAutospacing="0" w:line="560" w:lineRule="exact"/>
        <w:ind w:firstLine="480" w:firstLineChars="15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一</w:t>
      </w:r>
      <w:r>
        <w:rPr>
          <w:rFonts w:hint="eastAsia" w:ascii="仿宋_GB2312" w:eastAsia="仿宋_GB2312"/>
          <w:sz w:val="32"/>
          <w:szCs w:val="32"/>
        </w:rPr>
        <w:t>）贯彻执行党和国家有关大中型水库移民工作的方针、政策、法律、法规；</w:t>
      </w:r>
    </w:p>
    <w:p>
      <w:pPr>
        <w:pStyle w:val="8"/>
        <w:shd w:val="clear" w:color="auto" w:fill="FFFFFF"/>
        <w:spacing w:before="0" w:beforeAutospacing="0" w:after="0" w:afterAutospacing="0" w:line="560" w:lineRule="exact"/>
        <w:ind w:firstLine="480" w:firstLineChars="15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二</w:t>
      </w:r>
      <w:r>
        <w:rPr>
          <w:rFonts w:hint="eastAsia" w:ascii="仿宋_GB2312" w:eastAsia="仿宋_GB2312"/>
          <w:sz w:val="32"/>
          <w:szCs w:val="32"/>
        </w:rPr>
        <w:t>）履行全市大中型水库移民工作的管理、协调、监督、检查、指导职能；提出解决水库移民工作问题的意见及建议；</w:t>
      </w:r>
    </w:p>
    <w:p>
      <w:pPr>
        <w:pStyle w:val="8"/>
        <w:shd w:val="clear" w:color="auto" w:fill="FFFFFF"/>
        <w:spacing w:before="0" w:beforeAutospacing="0" w:after="0" w:afterAutospacing="0" w:line="560" w:lineRule="exact"/>
        <w:ind w:firstLine="480" w:firstLineChars="15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三</w:t>
      </w:r>
      <w:r>
        <w:rPr>
          <w:rFonts w:hint="eastAsia" w:ascii="仿宋_GB2312" w:eastAsia="仿宋_GB2312"/>
          <w:sz w:val="32"/>
          <w:szCs w:val="32"/>
        </w:rPr>
        <w:t>）负责全市大中型水库移民遗留问题的处理和大中型水库移民后期扶持工作；</w:t>
      </w:r>
    </w:p>
    <w:p>
      <w:pPr>
        <w:pStyle w:val="8"/>
        <w:shd w:val="clear" w:color="auto" w:fill="FFFFFF"/>
        <w:spacing w:before="0" w:beforeAutospacing="0" w:after="0" w:afterAutospacing="0" w:line="560" w:lineRule="exact"/>
        <w:ind w:firstLine="480" w:firstLineChars="15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四</w:t>
      </w:r>
      <w:r>
        <w:rPr>
          <w:rFonts w:hint="eastAsia" w:ascii="仿宋_GB2312" w:eastAsia="仿宋_GB2312"/>
          <w:sz w:val="32"/>
          <w:szCs w:val="32"/>
        </w:rPr>
        <w:t>）负责全市水库库区、移民安置区的基础设施和生产开发项目规划的编报及组织实施工作；</w:t>
      </w:r>
    </w:p>
    <w:p>
      <w:pPr>
        <w:pStyle w:val="8"/>
        <w:shd w:val="clear" w:color="auto" w:fill="FFFFFF"/>
        <w:spacing w:before="0" w:beforeAutospacing="0" w:after="0" w:afterAutospacing="0" w:line="560" w:lineRule="exact"/>
        <w:ind w:firstLine="480" w:firstLineChars="15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五</w:t>
      </w:r>
      <w:r>
        <w:rPr>
          <w:rFonts w:hint="eastAsia" w:ascii="仿宋_GB2312" w:eastAsia="仿宋_GB2312"/>
          <w:sz w:val="32"/>
          <w:szCs w:val="32"/>
        </w:rPr>
        <w:t>）负责全市大中型水库移民资金的管理工作；</w:t>
      </w:r>
    </w:p>
    <w:p>
      <w:pPr>
        <w:pStyle w:val="8"/>
        <w:shd w:val="clear" w:color="auto" w:fill="FFFFFF"/>
        <w:spacing w:before="0" w:beforeAutospacing="0" w:after="0" w:afterAutospacing="0" w:line="560" w:lineRule="exact"/>
        <w:ind w:firstLine="480" w:firstLineChars="15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六</w:t>
      </w:r>
      <w:r>
        <w:rPr>
          <w:rFonts w:hint="eastAsia" w:ascii="仿宋_GB2312" w:eastAsia="仿宋_GB2312"/>
          <w:sz w:val="32"/>
          <w:szCs w:val="32"/>
        </w:rPr>
        <w:t>）负责处理与移民有关的来信来访问题；</w:t>
      </w:r>
    </w:p>
    <w:p>
      <w:pPr>
        <w:pStyle w:val="8"/>
        <w:shd w:val="clear" w:color="auto" w:fill="FFFFFF"/>
        <w:spacing w:before="0" w:beforeAutospacing="0" w:after="0" w:afterAutospacing="0" w:line="560" w:lineRule="exact"/>
        <w:ind w:firstLine="480" w:firstLineChars="15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七</w:t>
      </w:r>
      <w:r>
        <w:rPr>
          <w:rFonts w:hint="eastAsia" w:ascii="仿宋_GB2312" w:eastAsia="仿宋_GB2312"/>
          <w:sz w:val="32"/>
          <w:szCs w:val="32"/>
        </w:rPr>
        <w:t>）负责全市移民干部业务培训和移民实用技术与技能培训工作；</w:t>
      </w:r>
    </w:p>
    <w:p>
      <w:pPr>
        <w:pStyle w:val="8"/>
        <w:shd w:val="clear" w:color="auto" w:fill="FFFFFF"/>
        <w:spacing w:before="0" w:beforeAutospacing="0" w:after="0" w:afterAutospacing="0" w:line="560" w:lineRule="exact"/>
        <w:ind w:firstLine="480" w:firstLineChars="150"/>
        <w:rPr>
          <w:rFonts w:hint="eastAsia" w:ascii="黑体" w:hAnsi="黑体" w:eastAsia="黑体" w:cs="黑体"/>
          <w:b w:val="0"/>
          <w:bCs w:val="0"/>
          <w:sz w:val="32"/>
          <w:szCs w:val="32"/>
        </w:rPr>
      </w:pPr>
      <w:r>
        <w:rPr>
          <w:rFonts w:hint="eastAsia" w:ascii="仿宋_GB2312" w:eastAsia="仿宋_GB2312"/>
          <w:sz w:val="32"/>
          <w:szCs w:val="32"/>
        </w:rPr>
        <w:t>（</w:t>
      </w:r>
      <w:r>
        <w:rPr>
          <w:rFonts w:hint="eastAsia" w:ascii="仿宋_GB2312" w:eastAsia="仿宋_GB2312"/>
          <w:sz w:val="32"/>
          <w:szCs w:val="32"/>
          <w:lang w:eastAsia="zh-CN"/>
        </w:rPr>
        <w:t>八</w:t>
      </w:r>
      <w:r>
        <w:rPr>
          <w:rFonts w:hint="eastAsia" w:ascii="仿宋_GB2312" w:eastAsia="仿宋_GB2312"/>
          <w:sz w:val="32"/>
          <w:szCs w:val="32"/>
        </w:rPr>
        <w:t>）承办市人民政府及上级主管部门交办的其他事项。</w:t>
      </w:r>
    </w:p>
    <w:p>
      <w:pPr>
        <w:jc w:val="left"/>
        <w:rPr>
          <w:rFonts w:hint="eastAsia" w:ascii="宋体"/>
          <w:bCs/>
          <w:kern w:val="0"/>
          <w:sz w:val="32"/>
          <w:szCs w:val="32"/>
        </w:rPr>
      </w:pP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rPr>
          <w:rFonts w:hint="eastAsia" w:ascii="宋体" w:hAnsi="宋体"/>
          <w:bCs/>
          <w:kern w:val="0"/>
          <w:sz w:val="32"/>
          <w:szCs w:val="32"/>
          <w:lang w:val="en-US" w:eastAsia="zh-CN"/>
        </w:rPr>
      </w:pPr>
      <w:r>
        <w:rPr>
          <w:rFonts w:hint="eastAsia" w:ascii="宋体" w:hAnsi="宋体"/>
          <w:bCs/>
          <w:kern w:val="0"/>
          <w:sz w:val="32"/>
          <w:szCs w:val="32"/>
        </w:rPr>
        <w:t>（一）内设机构设置。</w:t>
      </w:r>
      <w:r>
        <w:rPr>
          <w:rFonts w:hint="eastAsia" w:ascii="宋体" w:hAnsi="宋体"/>
          <w:bCs/>
          <w:kern w:val="0"/>
          <w:sz w:val="32"/>
          <w:szCs w:val="32"/>
          <w:lang w:val="en-US" w:eastAsia="zh-CN"/>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根据编委核定，我中心内设股室 3 个，</w:t>
      </w:r>
      <w:r>
        <w:rPr>
          <w:rFonts w:hint="eastAsia" w:ascii="仿宋_GB2312" w:eastAsia="仿宋_GB2312"/>
          <w:sz w:val="32"/>
          <w:szCs w:val="32"/>
          <w:lang w:val="en-US" w:eastAsia="zh-CN"/>
        </w:rPr>
        <w:t>一个二级机构。</w:t>
      </w:r>
      <w:r>
        <w:rPr>
          <w:rFonts w:hint="eastAsia" w:ascii="仿宋_GB2312" w:eastAsia="仿宋_GB2312"/>
          <w:sz w:val="32"/>
          <w:szCs w:val="32"/>
        </w:rPr>
        <w:t>所属事业单位 1 个，全部纳入202</w:t>
      </w:r>
      <w:r>
        <w:rPr>
          <w:rFonts w:hint="eastAsia" w:ascii="仿宋_GB2312" w:eastAsia="仿宋_GB2312"/>
          <w:sz w:val="32"/>
          <w:szCs w:val="32"/>
          <w:lang w:val="en-US" w:eastAsia="zh-CN"/>
        </w:rPr>
        <w:t>3</w:t>
      </w:r>
      <w:r>
        <w:rPr>
          <w:rFonts w:hint="eastAsia" w:ascii="仿宋_GB2312" w:eastAsia="仿宋_GB2312"/>
          <w:sz w:val="32"/>
          <w:szCs w:val="32"/>
        </w:rPr>
        <w:t>年部门预算编制范围。</w:t>
      </w:r>
    </w:p>
    <w:p>
      <w:pPr>
        <w:pStyle w:val="8"/>
        <w:numPr>
          <w:ilvl w:val="0"/>
          <w:numId w:val="0"/>
        </w:numPr>
        <w:shd w:val="clear" w:color="auto" w:fill="FFFFFF"/>
        <w:spacing w:before="0" w:beforeAutospacing="0" w:after="0" w:afterAutospacing="0" w:line="560" w:lineRule="exact"/>
        <w:ind w:right="0" w:rightChars="0" w:firstLine="640" w:firstLineChars="200"/>
        <w:rPr>
          <w:rFonts w:hint="eastAsia" w:ascii="仿宋_GB2312" w:eastAsia="仿宋_GB2312"/>
          <w:sz w:val="32"/>
          <w:szCs w:val="32"/>
        </w:rPr>
      </w:pPr>
      <w:r>
        <w:rPr>
          <w:rFonts w:hint="eastAsia" w:ascii="仿宋_GB2312" w:eastAsia="仿宋_GB2312"/>
          <w:sz w:val="32"/>
          <w:szCs w:val="32"/>
        </w:rPr>
        <w:t>截止202</w:t>
      </w:r>
      <w:r>
        <w:rPr>
          <w:rFonts w:hint="eastAsia" w:ascii="仿宋_GB2312" w:eastAsia="仿宋_GB2312"/>
          <w:sz w:val="32"/>
          <w:szCs w:val="32"/>
          <w:lang w:val="en-US" w:eastAsia="zh-CN"/>
        </w:rPr>
        <w:t>3</w:t>
      </w:r>
      <w:r>
        <w:rPr>
          <w:rFonts w:hint="eastAsia" w:ascii="仿宋_GB2312" w:eastAsia="仿宋_GB2312"/>
          <w:sz w:val="32"/>
          <w:szCs w:val="32"/>
        </w:rPr>
        <w:t>年1月（预算编制时间），我单位纳入部门预算编制23人。其中：实有在职人员1</w:t>
      </w:r>
      <w:r>
        <w:rPr>
          <w:rFonts w:hint="eastAsia" w:ascii="仿宋_GB2312" w:eastAsia="仿宋_GB2312"/>
          <w:sz w:val="32"/>
          <w:szCs w:val="32"/>
          <w:lang w:val="en-US" w:eastAsia="zh-CN"/>
        </w:rPr>
        <w:t>4</w:t>
      </w:r>
      <w:r>
        <w:rPr>
          <w:rFonts w:hint="eastAsia" w:ascii="仿宋_GB2312" w:eastAsia="仿宋_GB2312"/>
          <w:sz w:val="32"/>
          <w:szCs w:val="32"/>
        </w:rPr>
        <w:t>人，退伍人员</w:t>
      </w:r>
      <w:r>
        <w:rPr>
          <w:rFonts w:hint="eastAsia" w:ascii="仿宋_GB2312" w:eastAsia="仿宋_GB2312"/>
          <w:sz w:val="32"/>
          <w:szCs w:val="32"/>
          <w:lang w:val="en-US" w:eastAsia="zh-CN"/>
        </w:rPr>
        <w:t>5</w:t>
      </w:r>
      <w:r>
        <w:rPr>
          <w:rFonts w:hint="eastAsia" w:ascii="仿宋_GB2312" w:eastAsia="仿宋_GB2312"/>
          <w:sz w:val="32"/>
          <w:szCs w:val="32"/>
        </w:rPr>
        <w:t xml:space="preserve">人，离退休人员 </w:t>
      </w:r>
      <w:r>
        <w:rPr>
          <w:rFonts w:hint="eastAsia" w:ascii="仿宋_GB2312" w:eastAsia="仿宋_GB2312"/>
          <w:sz w:val="32"/>
          <w:szCs w:val="32"/>
          <w:lang w:val="en-US" w:eastAsia="zh-CN"/>
        </w:rPr>
        <w:t>9</w:t>
      </w:r>
      <w:r>
        <w:rPr>
          <w:rFonts w:hint="eastAsia" w:ascii="仿宋_GB2312" w:eastAsia="仿宋_GB2312"/>
          <w:sz w:val="32"/>
          <w:szCs w:val="32"/>
        </w:rPr>
        <w:t>人 。</w:t>
      </w:r>
    </w:p>
    <w:p>
      <w:pPr>
        <w:pStyle w:val="8"/>
        <w:numPr>
          <w:ilvl w:val="0"/>
          <w:numId w:val="0"/>
        </w:numPr>
        <w:shd w:val="clear" w:color="auto" w:fill="FFFFFF"/>
        <w:spacing w:before="0" w:beforeAutospacing="0" w:after="0" w:afterAutospacing="0" w:line="560" w:lineRule="exact"/>
        <w:ind w:right="0" w:rightChars="0" w:firstLine="640" w:firstLineChars="200"/>
        <w:rPr>
          <w:rFonts w:hint="eastAsia" w:ascii="仿宋_GB2312" w:eastAsia="仿宋_GB2312"/>
          <w:sz w:val="32"/>
          <w:szCs w:val="32"/>
        </w:rPr>
      </w:pPr>
      <w:r>
        <w:rPr>
          <w:rFonts w:hint="eastAsia" w:ascii="仿宋_GB2312" w:eastAsia="仿宋_GB2312"/>
          <w:sz w:val="32"/>
          <w:szCs w:val="32"/>
        </w:rPr>
        <w:t>内设股室分别是办公室、工程股、财务股。</w:t>
      </w:r>
    </w:p>
    <w:p>
      <w:pPr>
        <w:pStyle w:val="8"/>
        <w:shd w:val="clear" w:color="auto" w:fill="FFFFFF"/>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办公室的工作职责为协助领导处理机关日常工作，负责机关文电、会务、保密、档案、文明创建、创卫、机关事务综合协调等工作。负责机关移民工作情况综合、调研、对外宣传、政务督办、建议提案办理，总结推广移民工作典型经验。负责机关行政后勤、固定资产管理、安全保卫等工作。负责机关组织人事、干部教育培训、老干、计划生育等工作。负责机关党的建设、政治学习、机关考勤工作。负责移民信访、移民政策法规宣传、依法治国、依法行政工作。负责机关党风廉政建设和机关作风建设工作。负责机关权力运行、政务、党务公开工负责机关绩效考核工作。</w:t>
      </w:r>
    </w:p>
    <w:p>
      <w:pPr>
        <w:pStyle w:val="8"/>
        <w:shd w:val="clear" w:color="auto" w:fill="FFFFFF"/>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财务股的工作职责为负责机关财务工作。负责指导全市移民系统财务会计工作，并会同有关部门拟定全市移民资金管理、监督办法并组织实施。负责全市移民资金监督和管理。负责移民后期扶持政策实施稽察工作，负责机关统计和招商引资、立项争资工作。负责“互联网+监督”相关工作。负责移民资金绩效评价工作。</w:t>
      </w:r>
    </w:p>
    <w:p>
      <w:pPr>
        <w:pStyle w:val="8"/>
        <w:shd w:val="clear" w:color="auto" w:fill="FFFFFF"/>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工程股的工作职责为负责库区和移民安置区基础设施建设及经济发展中长期规划、水库移民后期扶持规划和年度计划编制工作。负责组织移民工程项目的规划、论证、设计及方案的审查、审批、上报工作。负责全市移民干部业务培训和移民实用技术与技能培训工作；承办市人民政府及上级主管部门交办的其他事项。 </w:t>
      </w:r>
    </w:p>
    <w:p>
      <w:pPr>
        <w:pStyle w:val="8"/>
        <w:shd w:val="clear" w:color="auto" w:fill="FFFFFF"/>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内设二级机构：沅江市库区移民资源中心</w:t>
      </w:r>
    </w:p>
    <w:p>
      <w:pPr>
        <w:rPr>
          <w:rFonts w:hint="eastAsia" w:ascii="宋体" w:hAnsi="宋体"/>
          <w:bCs/>
          <w:kern w:val="0"/>
          <w:sz w:val="32"/>
          <w:szCs w:val="32"/>
          <w:lang w:val="en-US" w:eastAsia="zh-CN"/>
        </w:rPr>
      </w:pPr>
      <w:r>
        <w:rPr>
          <w:rFonts w:hint="eastAsia" w:ascii="宋体" w:hAnsi="宋体"/>
          <w:bCs/>
          <w:kern w:val="0"/>
          <w:sz w:val="32"/>
          <w:szCs w:val="32"/>
        </w:rPr>
        <w:t>（</w:t>
      </w:r>
      <w:r>
        <w:rPr>
          <w:rFonts w:hint="eastAsia" w:ascii="宋体" w:hAnsi="宋体"/>
          <w:bCs/>
          <w:kern w:val="0"/>
          <w:sz w:val="32"/>
          <w:szCs w:val="32"/>
          <w:lang w:eastAsia="zh-CN"/>
        </w:rPr>
        <w:t>二</w:t>
      </w:r>
      <w:r>
        <w:rPr>
          <w:rFonts w:hint="eastAsia" w:ascii="宋体" w:hAnsi="宋体"/>
          <w:bCs/>
          <w:kern w:val="0"/>
          <w:sz w:val="32"/>
          <w:szCs w:val="32"/>
        </w:rPr>
        <w:t>）决算单位构成。</w:t>
      </w:r>
      <w:r>
        <w:rPr>
          <w:rFonts w:hint="eastAsia" w:ascii="宋体" w:hAnsi="宋体"/>
          <w:bCs/>
          <w:kern w:val="0"/>
          <w:sz w:val="32"/>
          <w:szCs w:val="32"/>
          <w:lang w:val="en-US" w:eastAsia="zh-CN"/>
        </w:rPr>
        <w:t xml:space="preserve"> </w:t>
      </w:r>
    </w:p>
    <w:p>
      <w:pPr>
        <w:widowControl/>
        <w:numPr>
          <w:ilvl w:val="0"/>
          <w:numId w:val="0"/>
        </w:numPr>
        <w:spacing w:line="600" w:lineRule="exact"/>
        <w:ind w:firstLine="640" w:firstLineChars="200"/>
        <w:rPr>
          <w:rFonts w:hint="eastAsia" w:ascii="仿宋_GB2312" w:hAnsi="Calibri" w:eastAsia="仿宋_GB2312" w:cs="Times New Roman"/>
          <w:kern w:val="0"/>
          <w:sz w:val="32"/>
          <w:szCs w:val="32"/>
          <w:lang w:val="en-US" w:eastAsia="zh-CN" w:bidi="ar"/>
        </w:rPr>
      </w:pPr>
      <w:r>
        <w:rPr>
          <w:rFonts w:hint="eastAsia" w:ascii="仿宋_GB2312" w:hAnsi="Calibri" w:eastAsia="仿宋_GB2312" w:cs="Times New Roman"/>
          <w:kern w:val="0"/>
          <w:sz w:val="32"/>
          <w:szCs w:val="32"/>
          <w:lang w:val="en-US" w:eastAsia="zh-CN" w:bidi="ar"/>
        </w:rPr>
        <w:t>沅江市库区移民事务中心2023年部门决算汇总公开单位构成为沅江市库区移民事务中心本级。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pStyle w:val="13"/>
        <w:spacing w:line="500" w:lineRule="exact"/>
        <w:rPr>
          <w:rFonts w:hint="eastAsia" w:ascii="黑体" w:hAnsi="黑体" w:eastAsia="黑体" w:cs="黑体"/>
          <w:b w:val="0"/>
          <w:bCs/>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jc w:val="center"/>
        <w:rPr>
          <w:sz w:val="72"/>
          <w:szCs w:val="72"/>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49"/>
        <w:gridCol w:w="1051"/>
        <w:gridCol w:w="3404"/>
        <w:gridCol w:w="2535"/>
        <w:gridCol w:w="2085"/>
        <w:gridCol w:w="1533"/>
        <w:gridCol w:w="922"/>
        <w:gridCol w:w="922"/>
        <w:gridCol w:w="922"/>
        <w:gridCol w:w="2005"/>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51"/>
              <w:gridCol w:w="1020"/>
              <w:gridCol w:w="1605"/>
              <w:gridCol w:w="4080"/>
              <w:gridCol w:w="1200"/>
              <w:gridCol w:w="1089"/>
              <w:gridCol w:w="448"/>
              <w:gridCol w:w="18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51" w:type="dxa"/>
                  <w:tcBorders>
                    <w:top w:val="nil"/>
                    <w:left w:val="nil"/>
                    <w:bottom w:val="nil"/>
                    <w:right w:val="nil"/>
                  </w:tcBorders>
                  <w:shd w:val="clear" w:color="auto" w:fill="auto"/>
                  <w:noWrap/>
                  <w:vAlign w:val="center"/>
                </w:tcPr>
                <w:p>
                  <w:pPr>
                    <w:jc w:val="left"/>
                    <w:rPr>
                      <w:rFonts w:hint="eastAsia" w:ascii="黑体" w:hAnsi="宋体" w:eastAsia="黑体" w:cs="黑体"/>
                      <w:i w:val="0"/>
                      <w:color w:val="000000"/>
                      <w:sz w:val="24"/>
                      <w:szCs w:val="24"/>
                      <w:u w:val="none"/>
                    </w:rPr>
                  </w:pPr>
                </w:p>
              </w:tc>
              <w:tc>
                <w:tcPr>
                  <w:tcW w:w="1020"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605"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4080"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289" w:type="dxa"/>
                  <w:gridSpan w:val="2"/>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253" w:type="dxa"/>
                  <w:gridSpan w:val="2"/>
                  <w:tcBorders>
                    <w:top w:val="nil"/>
                    <w:left w:val="nil"/>
                    <w:bottom w:val="nil"/>
                    <w:right w:val="nil"/>
                  </w:tcBorders>
                  <w:shd w:val="clear" w:color="auto" w:fill="auto"/>
                  <w:noWrap/>
                  <w:vAlign w:val="center"/>
                </w:tcPr>
                <w:p>
                  <w:pPr>
                    <w:jc w:val="righ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51"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020"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605"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080"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89"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53"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51"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020"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605"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080"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89"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53"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677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681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62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6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90"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2,382,214.04</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212,000.00</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2,036.00</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212,000.00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3,760.00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2,206,225.16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13</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15</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16</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629"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17</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18</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19</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144,722.88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21</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23</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24</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27</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2,596,250.04</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2,596,708.04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使用非财政拨款结余（含专用结余）</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28</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结余分配</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62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29</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458.00</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年末结转和结余</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805" w:type="dxa"/>
                <w:trHeight w:val="448" w:hRule="atLeast"/>
              </w:trPr>
              <w:tc>
                <w:tcPr>
                  <w:tcW w:w="41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30</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2,596,708.04</w:t>
                  </w:r>
                </w:p>
              </w:tc>
              <w:tc>
                <w:tcPr>
                  <w:tcW w:w="408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2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2,596,708.04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5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4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08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3"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00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34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08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533"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92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00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25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2085"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53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92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92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92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0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1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340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253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8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92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92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92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0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0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404"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3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8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533"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92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92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92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00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栏次</w:t>
            </w:r>
          </w:p>
        </w:tc>
        <w:tc>
          <w:tcPr>
            <w:tcW w:w="25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20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w:t>
            </w:r>
          </w:p>
        </w:tc>
        <w:tc>
          <w:tcPr>
            <w:tcW w:w="153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p>
        </w:tc>
        <w:tc>
          <w:tcPr>
            <w:tcW w:w="92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w:t>
            </w:r>
          </w:p>
        </w:tc>
        <w:tc>
          <w:tcPr>
            <w:tcW w:w="92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w:t>
            </w:r>
          </w:p>
        </w:tc>
        <w:tc>
          <w:tcPr>
            <w:tcW w:w="92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w:t>
            </w:r>
          </w:p>
        </w:tc>
        <w:tc>
          <w:tcPr>
            <w:tcW w:w="20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w:t>
            </w:r>
          </w:p>
        </w:tc>
      </w:tr>
      <w:tr>
        <w:tblPrEx>
          <w:tblCellMar>
            <w:top w:w="0" w:type="dxa"/>
            <w:left w:w="0" w:type="dxa"/>
            <w:bottom w:w="0" w:type="dxa"/>
            <w:right w:w="0" w:type="dxa"/>
          </w:tblCellMar>
        </w:tblPrEx>
        <w:trPr>
          <w:trHeight w:val="450"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合计</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2,596,250.04</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2,594,214.04</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2,036.00</w:t>
            </w:r>
          </w:p>
        </w:tc>
      </w:tr>
      <w:tr>
        <w:tblPrEx>
          <w:tblCellMar>
            <w:top w:w="0" w:type="dxa"/>
            <w:left w:w="0" w:type="dxa"/>
            <w:bottom w:w="0" w:type="dxa"/>
            <w:right w:w="0" w:type="dxa"/>
          </w:tblCellMar>
        </w:tblPrEx>
        <w:trPr>
          <w:trHeight w:val="450" w:hRule="atLeast"/>
        </w:trPr>
        <w:tc>
          <w:tcPr>
            <w:tcW w:w="11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2130102</w:t>
            </w:r>
          </w:p>
        </w:tc>
        <w:tc>
          <w:tcPr>
            <w:tcW w:w="3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一般行政管理事务</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110,000.00</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110,000.00</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1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2130321</w:t>
            </w:r>
          </w:p>
        </w:tc>
        <w:tc>
          <w:tcPr>
            <w:tcW w:w="3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大中型水库移民后期扶持专项支出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140,000.00</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140,000.00</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1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2130101</w:t>
            </w:r>
          </w:p>
        </w:tc>
        <w:tc>
          <w:tcPr>
            <w:tcW w:w="3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行政运行</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1,767,767.16</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1,765,731.16</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2,036.00</w:t>
            </w:r>
          </w:p>
        </w:tc>
      </w:tr>
      <w:tr>
        <w:tblPrEx>
          <w:tblCellMar>
            <w:top w:w="0" w:type="dxa"/>
            <w:left w:w="0" w:type="dxa"/>
            <w:bottom w:w="0" w:type="dxa"/>
            <w:right w:w="0" w:type="dxa"/>
          </w:tblCellMar>
        </w:tblPrEx>
        <w:trPr>
          <w:trHeight w:val="450" w:hRule="atLeast"/>
        </w:trPr>
        <w:tc>
          <w:tcPr>
            <w:tcW w:w="11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2130399</w:t>
            </w:r>
          </w:p>
        </w:tc>
        <w:tc>
          <w:tcPr>
            <w:tcW w:w="3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其他水利支出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188,000.00</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188,000.00</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1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2100717</w:t>
            </w:r>
          </w:p>
        </w:tc>
        <w:tc>
          <w:tcPr>
            <w:tcW w:w="3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计划生育服务</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3,760.00</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3,760.00</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1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2210201</w:t>
            </w:r>
          </w:p>
        </w:tc>
        <w:tc>
          <w:tcPr>
            <w:tcW w:w="3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住房公积金</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144,722.88</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144,722.88</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1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2069999</w:t>
            </w:r>
          </w:p>
        </w:tc>
        <w:tc>
          <w:tcPr>
            <w:tcW w:w="3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其他科学技术支出</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30,000.00</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30,000.00</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1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2082202</w:t>
            </w:r>
          </w:p>
        </w:tc>
        <w:tc>
          <w:tcPr>
            <w:tcW w:w="3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基础设施建设和经济发展</w:t>
            </w:r>
          </w:p>
        </w:tc>
        <w:tc>
          <w:tcPr>
            <w:tcW w:w="25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212,000.00</w:t>
            </w:r>
          </w:p>
        </w:tc>
        <w:tc>
          <w:tcPr>
            <w:tcW w:w="20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212,000.00</w:t>
            </w:r>
          </w:p>
        </w:tc>
        <w:tc>
          <w:tcPr>
            <w:tcW w:w="15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2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20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方正小标宋_GBK" w:cs="Times New Roman"/>
          <w:color w:val="000000"/>
          <w:kern w:val="0"/>
          <w:sz w:val="36"/>
          <w:szCs w:val="36"/>
        </w:rPr>
      </w:pPr>
    </w:p>
    <w:tbl>
      <w:tblPr>
        <w:tblStyle w:val="9"/>
        <w:tblW w:w="15640" w:type="dxa"/>
        <w:tblInd w:w="93" w:type="dxa"/>
        <w:tblLayout w:type="fixed"/>
        <w:tblCellMar>
          <w:top w:w="0" w:type="dxa"/>
          <w:left w:w="108" w:type="dxa"/>
          <w:bottom w:w="0" w:type="dxa"/>
          <w:right w:w="108" w:type="dxa"/>
        </w:tblCellMar>
      </w:tblPr>
      <w:tblGrid>
        <w:gridCol w:w="1024"/>
        <w:gridCol w:w="452"/>
        <w:gridCol w:w="3553"/>
        <w:gridCol w:w="1425"/>
        <w:gridCol w:w="1695"/>
        <w:gridCol w:w="1410"/>
        <w:gridCol w:w="1710"/>
        <w:gridCol w:w="1890"/>
        <w:gridCol w:w="2481"/>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02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5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5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81"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1024"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5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5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81"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502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4"/>
                <w:szCs w:val="24"/>
              </w:rPr>
            </w:pPr>
          </w:p>
        </w:tc>
        <w:tc>
          <w:tcPr>
            <w:tcW w:w="142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4"/>
                <w:szCs w:val="24"/>
              </w:rPr>
            </w:pPr>
          </w:p>
        </w:tc>
        <w:tc>
          <w:tcPr>
            <w:tcW w:w="169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4"/>
                <w:szCs w:val="24"/>
              </w:rPr>
            </w:pPr>
          </w:p>
        </w:tc>
        <w:tc>
          <w:tcPr>
            <w:tcW w:w="141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4"/>
                <w:szCs w:val="24"/>
              </w:rPr>
            </w:pPr>
          </w:p>
        </w:tc>
        <w:tc>
          <w:tcPr>
            <w:tcW w:w="171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4"/>
                <w:szCs w:val="24"/>
              </w:rPr>
            </w:pPr>
          </w:p>
        </w:tc>
        <w:tc>
          <w:tcPr>
            <w:tcW w:w="189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4"/>
                <w:szCs w:val="24"/>
              </w:rPr>
            </w:pPr>
          </w:p>
        </w:tc>
        <w:tc>
          <w:tcPr>
            <w:tcW w:w="2481"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502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9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8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48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553"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355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9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502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9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89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48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595" w:hRule="atLeast"/>
        </w:trPr>
        <w:tc>
          <w:tcPr>
            <w:tcW w:w="502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2,596,708.04</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1,973,751.95</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622,956.09</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2130102</w:t>
            </w:r>
          </w:p>
        </w:tc>
        <w:tc>
          <w:tcPr>
            <w:tcW w:w="355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110,000.00</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110,000.00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2130321</w:t>
            </w:r>
          </w:p>
        </w:tc>
        <w:tc>
          <w:tcPr>
            <w:tcW w:w="355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大中型水库移民后期扶持专项支出</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140,000.00</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140,000.00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2130101</w:t>
            </w:r>
          </w:p>
        </w:tc>
        <w:tc>
          <w:tcPr>
            <w:tcW w:w="355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1,768,225.16</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1,768,225.16</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2130399</w:t>
            </w:r>
          </w:p>
        </w:tc>
        <w:tc>
          <w:tcPr>
            <w:tcW w:w="355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其他水利支出</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188,000.00</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57,043.91</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130,956.09</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2100717</w:t>
            </w:r>
          </w:p>
        </w:tc>
        <w:tc>
          <w:tcPr>
            <w:tcW w:w="355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计划生育服务</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3,760.00</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3,760.00</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4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355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144,722.88</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144,722.88</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14"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2069999</w:t>
            </w:r>
          </w:p>
        </w:tc>
        <w:tc>
          <w:tcPr>
            <w:tcW w:w="355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其他科学技术支出</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30,000.00</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30,000.00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948"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2082202</w:t>
            </w:r>
          </w:p>
        </w:tc>
        <w:tc>
          <w:tcPr>
            <w:tcW w:w="355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基础设施建设和经济发展</w:t>
            </w:r>
          </w:p>
        </w:tc>
        <w:tc>
          <w:tcPr>
            <w:tcW w:w="14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212,000.00</w:t>
            </w:r>
          </w:p>
        </w:tc>
        <w:tc>
          <w:tcPr>
            <w:tcW w:w="169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212,000.00</w:t>
            </w:r>
          </w:p>
        </w:tc>
        <w:tc>
          <w:tcPr>
            <w:tcW w:w="17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89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248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fixed"/>
        <w:tblCellMar>
          <w:top w:w="0" w:type="dxa"/>
          <w:left w:w="108" w:type="dxa"/>
          <w:bottom w:w="0" w:type="dxa"/>
          <w:right w:w="108" w:type="dxa"/>
        </w:tblCellMar>
      </w:tblPr>
      <w:tblGrid>
        <w:gridCol w:w="3379"/>
        <w:gridCol w:w="675"/>
        <w:gridCol w:w="1551"/>
        <w:gridCol w:w="3459"/>
        <w:gridCol w:w="88"/>
        <w:gridCol w:w="722"/>
        <w:gridCol w:w="1410"/>
        <w:gridCol w:w="1455"/>
        <w:gridCol w:w="1470"/>
        <w:gridCol w:w="1312"/>
      </w:tblGrid>
      <w:tr>
        <w:tblPrEx>
          <w:tblCellMar>
            <w:top w:w="0" w:type="dxa"/>
            <w:left w:w="108" w:type="dxa"/>
            <w:bottom w:w="0" w:type="dxa"/>
            <w:right w:w="108" w:type="dxa"/>
          </w:tblCellMar>
        </w:tblPrEx>
        <w:trPr>
          <w:trHeight w:val="285" w:hRule="atLeast"/>
        </w:trPr>
        <w:tc>
          <w:tcPr>
            <w:tcW w:w="3379"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67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5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p>
            <w:pPr>
              <w:pStyle w:val="2"/>
              <w:rPr>
                <w:rFonts w:ascii="宋体" w:hAnsi="宋体" w:eastAsia="宋体" w:cs="宋体"/>
                <w:kern w:val="0"/>
                <w:sz w:val="24"/>
                <w:szCs w:val="24"/>
              </w:rPr>
            </w:pPr>
          </w:p>
          <w:p>
            <w:pPr>
              <w:pStyle w:val="3"/>
              <w:rPr>
                <w:rFonts w:ascii="宋体" w:hAnsi="宋体" w:eastAsia="宋体" w:cs="宋体"/>
                <w:kern w:val="0"/>
                <w:sz w:val="24"/>
                <w:szCs w:val="24"/>
              </w:rPr>
            </w:pPr>
          </w:p>
          <w:p/>
        </w:tc>
        <w:tc>
          <w:tcPr>
            <w:tcW w:w="72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410"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45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470"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1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3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4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379"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6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4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5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1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60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91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4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5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47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3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5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47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31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2,382,214.04</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一、一般公共服务支出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212,000.00</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二、外交支出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三、国防支出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四、公共安全支出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五、教育支出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37</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6</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六、科学技术支出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38</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30,000.00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30,000.00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7</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七、文化旅游体育与传媒支出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39</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8</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八、社会保障和就业支出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40</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212,000.00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212,000.00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9</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九、卫生健康支出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41</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3,760.00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3,760.00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10</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十、节能环保支出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42</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十一、城乡社区支出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43</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12</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十二、农林水支出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44</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2,203,731.16</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2,203,731.16</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13</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十三、交通运输支出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45</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14</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十四、资源勘探工业信息等支出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46</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15</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十五、商业服务业等支出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47</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16</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十六、金融支出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48</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十七、援助其他地区支出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49</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705"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18</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十八、自然资源海洋气象等支出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50</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十九、住房保障支出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51</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144,722.88</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144,722.88</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二十、粮油物资储备支出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52</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二十一、国有资本经营预算支出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53</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二十二、灾害防治及应急管理支出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54</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二十三、其他支出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55</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二十四、债务还本支出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56</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二十五、债务付息支出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57</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rPr>
            </w:pP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二十六、抗疫特别国债安排的支出</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58</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639"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2,594,214.04</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本年支出合计</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59</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2,594,214.04</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2,382,214.04</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212,000.00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年末财政拨款结转和结余</w:t>
            </w: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60</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61</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62</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67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345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p>
        </w:tc>
        <w:tc>
          <w:tcPr>
            <w:tcW w:w="81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63</w:t>
            </w:r>
          </w:p>
        </w:tc>
        <w:tc>
          <w:tcPr>
            <w:tcW w:w="14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45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p>
        </w:tc>
      </w:tr>
      <w:tr>
        <w:tblPrEx>
          <w:tblCellMar>
            <w:top w:w="0" w:type="dxa"/>
            <w:left w:w="108" w:type="dxa"/>
            <w:bottom w:w="0" w:type="dxa"/>
            <w:right w:w="108" w:type="dxa"/>
          </w:tblCellMar>
        </w:tblPrEx>
        <w:trPr>
          <w:trHeight w:val="402" w:hRule="atLeast"/>
        </w:trPr>
        <w:tc>
          <w:tcPr>
            <w:tcW w:w="337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67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155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2,594,214.04</w:t>
            </w:r>
          </w:p>
        </w:tc>
        <w:tc>
          <w:tcPr>
            <w:tcW w:w="345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总计</w:t>
            </w:r>
          </w:p>
        </w:tc>
        <w:tc>
          <w:tcPr>
            <w:tcW w:w="81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64</w:t>
            </w:r>
          </w:p>
        </w:tc>
        <w:tc>
          <w:tcPr>
            <w:tcW w:w="1410" w:type="dxa"/>
            <w:tcBorders>
              <w:top w:val="nil"/>
              <w:left w:val="nil"/>
              <w:bottom w:val="single" w:color="auto" w:sz="4" w:space="0"/>
              <w:right w:val="single" w:color="auto" w:sz="4" w:space="0"/>
            </w:tcBorders>
            <w:shd w:val="clear" w:color="000000" w:fill="FFFFFF"/>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2,594,214.04</w:t>
            </w:r>
          </w:p>
        </w:tc>
        <w:tc>
          <w:tcPr>
            <w:tcW w:w="1455" w:type="dxa"/>
            <w:tcBorders>
              <w:top w:val="nil"/>
              <w:left w:val="nil"/>
              <w:bottom w:val="single" w:color="auto" w:sz="4" w:space="0"/>
              <w:right w:val="single" w:color="auto" w:sz="4" w:space="0"/>
            </w:tcBorders>
            <w:shd w:val="clear" w:color="000000" w:fill="FFFFFF"/>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2,382,214.04</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212,000.00</w:t>
            </w:r>
          </w:p>
        </w:tc>
        <w:tc>
          <w:tcPr>
            <w:tcW w:w="131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pStyle w:val="3"/>
        <w:ind w:left="0" w:leftChars="0" w:firstLine="0" w:firstLineChars="0"/>
        <w:rPr>
          <w:rFonts w:ascii="Times New Roman" w:hAnsi="Times New Roman" w:eastAsia="方正小标宋_GBK" w:cs="Times New Roman"/>
          <w:kern w:val="0"/>
          <w:sz w:val="36"/>
          <w:szCs w:val="36"/>
        </w:rPr>
      </w:pPr>
    </w:p>
    <w:p>
      <w:pPr>
        <w:rPr>
          <w:rFonts w:ascii="Times New Roman" w:hAnsi="Times New Roman" w:eastAsia="方正小标宋_GBK" w:cs="Times New Roman"/>
          <w:kern w:val="0"/>
          <w:sz w:val="36"/>
          <w:szCs w:val="36"/>
        </w:rPr>
      </w:pPr>
    </w:p>
    <w:p>
      <w:pPr>
        <w:pStyle w:val="2"/>
        <w:rPr>
          <w:rFonts w:ascii="Times New Roman" w:hAnsi="Times New Roman" w:eastAsia="方正小标宋_GBK" w:cs="Times New Roman"/>
          <w:kern w:val="0"/>
          <w:sz w:val="36"/>
          <w:szCs w:val="36"/>
        </w:rPr>
      </w:pPr>
    </w:p>
    <w:p>
      <w:pPr>
        <w:pStyle w:val="3"/>
      </w:pPr>
    </w:p>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宋体" w:hAnsi="宋体" w:eastAsia="宋体" w:cs="宋体"/>
                <w:kern w:val="0"/>
                <w:sz w:val="22"/>
              </w:rPr>
            </w:pPr>
            <w:r>
              <w:rPr>
                <w:rFonts w:hint="eastAsia" w:ascii="宋体" w:hAnsi="宋体" w:eastAsia="宋体" w:cs="宋体"/>
                <w:kern w:val="0"/>
                <w:sz w:val="22"/>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2,382,214.04</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1,971,257.95</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410,956.09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110,000.00</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110,000.00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2130321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大中型水库移民后期扶持专项支出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140,000.00</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140,000.00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1,765,731.16</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1,765,731.16</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2130399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其他水利支出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188,000.00</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57,043.91</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130,956.09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2100717</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计划生育服务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3,760.00</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3,760.00</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8"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144,722.88</w:t>
            </w:r>
          </w:p>
        </w:tc>
        <w:tc>
          <w:tcPr>
            <w:tcW w:w="3492" w:type="dxa"/>
            <w:tcBorders>
              <w:top w:val="nil"/>
              <w:left w:val="nil"/>
              <w:bottom w:val="single" w:color="auto" w:sz="8" w:space="0"/>
              <w:right w:val="single" w:color="auto" w:sz="4"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144,722.88</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eastAsia"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其他科学技术支出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30,000.00</w:t>
            </w:r>
          </w:p>
        </w:tc>
        <w:tc>
          <w:tcPr>
            <w:tcW w:w="3492" w:type="dxa"/>
            <w:tcBorders>
              <w:top w:val="nil"/>
              <w:left w:val="nil"/>
              <w:bottom w:val="single" w:color="auto" w:sz="8" w:space="0"/>
              <w:right w:val="single" w:color="auto" w:sz="4" w:space="0"/>
            </w:tcBorders>
            <w:shd w:val="clear" w:color="auto" w:fill="auto"/>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0.00</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30,000.00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fixed"/>
        <w:tblCellMar>
          <w:top w:w="0" w:type="dxa"/>
          <w:left w:w="108" w:type="dxa"/>
          <w:bottom w:w="0" w:type="dxa"/>
          <w:right w:w="108" w:type="dxa"/>
        </w:tblCellMar>
      </w:tblPr>
      <w:tblGrid>
        <w:gridCol w:w="913"/>
        <w:gridCol w:w="237"/>
        <w:gridCol w:w="85"/>
        <w:gridCol w:w="1181"/>
        <w:gridCol w:w="1462"/>
        <w:gridCol w:w="495"/>
        <w:gridCol w:w="1083"/>
        <w:gridCol w:w="1107"/>
        <w:gridCol w:w="278"/>
        <w:gridCol w:w="1686"/>
        <w:gridCol w:w="295"/>
        <w:gridCol w:w="1055"/>
        <w:gridCol w:w="1243"/>
        <w:gridCol w:w="182"/>
        <w:gridCol w:w="1720"/>
        <w:gridCol w:w="1071"/>
        <w:gridCol w:w="1108"/>
        <w:gridCol w:w="413"/>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763" w:hRule="atLeast"/>
        </w:trPr>
        <w:tc>
          <w:tcPr>
            <w:tcW w:w="123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64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7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0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196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5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决算数</w:t>
            </w:r>
          </w:p>
        </w:tc>
        <w:tc>
          <w:tcPr>
            <w:tcW w:w="142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79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2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1,803,553.94</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156,304.01</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692,405.75</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323,924.00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30202</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231,862.00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30203</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54,262.00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30204</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17,326.00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30205</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171,403.44</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30206</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30207</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95,435.47</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29,453.40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187,481.88</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11,400.00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3,000.00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8,083.00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2,400.00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17,151.01</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30,524.25</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9,000.00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30,325.00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pPr>
              <w:widowControl/>
              <w:jc w:val="left"/>
              <w:rPr>
                <w:rFonts w:ascii="宋体" w:hAnsi="宋体" w:eastAsia="宋体" w:cs="宋体"/>
                <w:color w:val="000000"/>
                <w:kern w:val="0"/>
                <w:szCs w:val="20"/>
              </w:rPr>
            </w:pP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67,220.75</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0.00</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p>
        </w:tc>
      </w:tr>
      <w:tr>
        <w:tblPrEx>
          <w:tblCellMar>
            <w:top w:w="0" w:type="dxa"/>
            <w:left w:w="108" w:type="dxa"/>
            <w:bottom w:w="0" w:type="dxa"/>
            <w:right w:w="108" w:type="dxa"/>
          </w:tblCellMar>
        </w:tblPrEx>
        <w:trPr>
          <w:trHeight w:val="284" w:hRule="exact"/>
        </w:trPr>
        <w:tc>
          <w:tcPr>
            <w:tcW w:w="1235"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643"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1964"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35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0.00</w:t>
            </w:r>
          </w:p>
        </w:tc>
        <w:tc>
          <w:tcPr>
            <w:tcW w:w="14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79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p>
        </w:tc>
      </w:tr>
      <w:tr>
        <w:tblPrEx>
          <w:tblCellMar>
            <w:top w:w="0" w:type="dxa"/>
            <w:left w:w="108" w:type="dxa"/>
            <w:bottom w:w="0" w:type="dxa"/>
            <w:right w:w="108" w:type="dxa"/>
          </w:tblCellMar>
        </w:tblPrEx>
        <w:trPr>
          <w:trHeight w:val="284" w:hRule="exact"/>
        </w:trPr>
        <w:tc>
          <w:tcPr>
            <w:tcW w:w="3878"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57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rPr>
            </w:pPr>
            <w:r>
              <w:rPr>
                <w:rFonts w:hint="eastAsia" w:ascii="宋体" w:hAnsi="宋体" w:eastAsia="宋体" w:cs="宋体"/>
                <w:color w:val="000000"/>
                <w:kern w:val="0"/>
                <w:szCs w:val="20"/>
                <w:lang w:val="en-US" w:eastAsia="zh-CN"/>
              </w:rPr>
              <w:t>1814953.94</w:t>
            </w:r>
          </w:p>
        </w:tc>
        <w:tc>
          <w:tcPr>
            <w:tcW w:w="8637"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521"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156304.01</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1318" w:hRule="atLeast"/>
        </w:trPr>
        <w:tc>
          <w:tcPr>
            <w:tcW w:w="15201" w:type="dxa"/>
            <w:gridSpan w:val="17"/>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345" w:hRule="atLeast"/>
        </w:trPr>
        <w:tc>
          <w:tcPr>
            <w:tcW w:w="913"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37"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266"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957"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468"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298"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02"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79"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690" w:hRule="atLeast"/>
        </w:trPr>
        <w:tc>
          <w:tcPr>
            <w:tcW w:w="913"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37"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266"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957"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468"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81"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298"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902"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79"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459" w:hRule="atLeast"/>
        </w:trPr>
        <w:tc>
          <w:tcPr>
            <w:tcW w:w="24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19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46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18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7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609" w:hRule="atLeast"/>
        </w:trPr>
        <w:tc>
          <w:tcPr>
            <w:tcW w:w="11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26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6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29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19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7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409" w:hRule="atLeast"/>
        </w:trPr>
        <w:tc>
          <w:tcPr>
            <w:tcW w:w="11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6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7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509" w:hRule="atLeast"/>
        </w:trPr>
        <w:tc>
          <w:tcPr>
            <w:tcW w:w="11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6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46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7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509" w:hRule="atLeast"/>
        </w:trPr>
        <w:tc>
          <w:tcPr>
            <w:tcW w:w="24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4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2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509" w:hRule="atLeast"/>
        </w:trPr>
        <w:tc>
          <w:tcPr>
            <w:tcW w:w="241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4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212000.00</w:t>
            </w: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212000.00</w:t>
            </w:r>
          </w:p>
        </w:tc>
        <w:tc>
          <w:tcPr>
            <w:tcW w:w="22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212000.00</w:t>
            </w:r>
          </w:p>
        </w:tc>
        <w:tc>
          <w:tcPr>
            <w:tcW w:w="21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509" w:hRule="atLeast"/>
        </w:trPr>
        <w:tc>
          <w:tcPr>
            <w:tcW w:w="1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1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4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509" w:hRule="atLeast"/>
        </w:trPr>
        <w:tc>
          <w:tcPr>
            <w:tcW w:w="11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2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4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2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413" w:type="dxa"/>
          <w:trHeight w:val="725" w:hRule="atLeast"/>
        </w:trPr>
        <w:tc>
          <w:tcPr>
            <w:tcW w:w="15201"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lang w:val="en-US" w:eastAsia="zh-CN"/>
              </w:rPr>
            </w:pPr>
            <w:r>
              <w:rPr>
                <w:rFonts w:hint="eastAsia" w:ascii="宋体" w:hAnsi="宋体" w:eastAsia="宋体" w:cs="宋体"/>
                <w:i w:val="0"/>
                <w:color w:val="000000"/>
                <w:sz w:val="24"/>
                <w:szCs w:val="24"/>
                <w:u w:val="none"/>
                <w:lang w:val="en-US" w:eastAsia="zh-CN"/>
              </w:rPr>
              <w:t>0.00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10000.00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10000.00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8030.00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8030.00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cols w:space="425" w:num="1"/>
          <w:docGrid w:type="lines" w:linePitch="312" w:charSpace="0"/>
        </w:sectPr>
      </w:pPr>
    </w:p>
    <w:p>
      <w:pPr>
        <w:pStyle w:val="13"/>
        <w:jc w:val="both"/>
        <w:rPr>
          <w:rFonts w:hint="default"/>
          <w:sz w:val="72"/>
          <w:szCs w:val="72"/>
          <w:lang w:val="en-US" w:eastAsia="zh-CN"/>
        </w:rPr>
      </w:pPr>
    </w:p>
    <w:p>
      <w:pPr>
        <w:pStyle w:val="13"/>
        <w:jc w:val="both"/>
        <w:rPr>
          <w:rFonts w:hint="default"/>
          <w:sz w:val="72"/>
          <w:szCs w:val="72"/>
          <w:lang w:val="en-US" w:eastAsia="zh-CN"/>
        </w:rPr>
      </w:pPr>
    </w:p>
    <w:p>
      <w:pPr>
        <w:pStyle w:val="13"/>
        <w:jc w:val="both"/>
        <w:rPr>
          <w:rFonts w:hint="default"/>
          <w:sz w:val="72"/>
          <w:szCs w:val="72"/>
          <w:lang w:val="en-US" w:eastAsia="zh-CN"/>
        </w:rPr>
      </w:pPr>
    </w:p>
    <w:p>
      <w:pPr>
        <w:pStyle w:val="13"/>
        <w:jc w:val="both"/>
        <w:rPr>
          <w:rFonts w:hint="default"/>
          <w:sz w:val="72"/>
          <w:szCs w:val="72"/>
          <w:lang w:val="en-US" w:eastAsia="zh-CN"/>
        </w:rPr>
      </w:pPr>
    </w:p>
    <w:p>
      <w:pPr>
        <w:pStyle w:val="13"/>
        <w:jc w:val="both"/>
        <w:rPr>
          <w:rFonts w:hint="default"/>
          <w:sz w:val="72"/>
          <w:szCs w:val="72"/>
          <w:lang w:val="en-US" w:eastAsia="zh-CN"/>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lang w:val="en-US" w:eastAsia="zh-CN"/>
        </w:rPr>
        <w:t>沅江市库区移民事务中心</w:t>
      </w:r>
    </w:p>
    <w:p>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ind w:firstLine="640" w:firstLineChars="200"/>
        <w:rPr>
          <w:rFonts w:ascii="黑体" w:hAnsi="黑体" w:eastAsia="黑体"/>
          <w:sz w:val="32"/>
          <w:szCs w:val="32"/>
        </w:rPr>
      </w:pPr>
      <w:r>
        <w:rPr>
          <w:rFonts w:hint="eastAsia" w:ascii="黑体" w:hAnsi="黑体" w:eastAsia="黑体"/>
          <w:sz w:val="32"/>
          <w:szCs w:val="32"/>
        </w:rPr>
        <w:t>一、收入支出决算总体情况</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2023年度收、支总计519.29万元，与2022年相比，收、支总计减少43.71万元，减少了7.76%。主要原因是202年减少了两个在职人员和压缩了公用经费开支。</w:t>
      </w:r>
    </w:p>
    <w:p>
      <w:pPr>
        <w:ind w:firstLine="640" w:firstLineChars="200"/>
        <w:rPr>
          <w:rFonts w:hint="eastAsia" w:ascii="Times New Roman" w:hAnsi="Times New Roman" w:eastAsia="仿宋_GB2312" w:cs="Times New Roman"/>
          <w:sz w:val="32"/>
          <w:szCs w:val="32"/>
        </w:rPr>
      </w:pPr>
    </w:p>
    <w:p>
      <w:pPr>
        <w:ind w:firstLine="640" w:firstLineChars="200"/>
        <w:rPr>
          <w:rFonts w:ascii="黑体" w:hAnsi="黑体" w:eastAsia="黑体"/>
          <w:sz w:val="32"/>
          <w:szCs w:val="32"/>
        </w:rPr>
      </w:pPr>
      <w:r>
        <w:rPr>
          <w:rFonts w:hint="eastAsia" w:ascii="黑体" w:hAnsi="黑体" w:eastAsia="黑体"/>
          <w:sz w:val="32"/>
          <w:szCs w:val="32"/>
        </w:rPr>
        <w:t>二、收入决算情况说明</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2023年收入259.62万元，其中：一般公共预算拨款收入238.22万元，占本年总收入91.75%；政府性基金预算财政拨款收入21.2万元，占本年总收入8.89%；其他收入0.203万元。</w:t>
      </w:r>
    </w:p>
    <w:p>
      <w:pPr>
        <w:ind w:firstLine="640" w:firstLineChars="200"/>
        <w:rPr>
          <w:rFonts w:hint="eastAsia" w:ascii="Times New Roman" w:hAnsi="Times New Roman" w:eastAsia="仿宋_GB2312" w:cs="Times New Roman"/>
          <w:sz w:val="32"/>
          <w:szCs w:val="32"/>
        </w:rPr>
      </w:pPr>
    </w:p>
    <w:p>
      <w:pPr>
        <w:ind w:firstLine="640" w:firstLineChars="200"/>
        <w:rPr>
          <w:rFonts w:ascii="黑体" w:hAnsi="黑体" w:eastAsia="黑体"/>
          <w:sz w:val="32"/>
          <w:szCs w:val="32"/>
        </w:rPr>
      </w:pPr>
      <w:r>
        <w:rPr>
          <w:rFonts w:hint="eastAsia" w:ascii="黑体" w:hAnsi="黑体" w:eastAsia="黑体"/>
          <w:sz w:val="32"/>
          <w:szCs w:val="32"/>
        </w:rPr>
        <w:t>三、支出决算情况说明</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本年支出合计259.67万元，其中：基本支出197.37万元，占本年总支出76%。项目支出62.29万元，占本年总支出23.98%。</w:t>
      </w:r>
    </w:p>
    <w:p>
      <w:pPr>
        <w:ind w:firstLine="640" w:firstLineChars="200"/>
        <w:rPr>
          <w:rFonts w:hint="eastAsia" w:ascii="Times New Roman" w:hAnsi="Times New Roman" w:eastAsia="仿宋_GB2312" w:cs="Times New Roman"/>
          <w:sz w:val="32"/>
          <w:szCs w:val="32"/>
        </w:rPr>
      </w:pPr>
    </w:p>
    <w:p>
      <w:pPr>
        <w:ind w:firstLine="640" w:firstLineChars="200"/>
        <w:rPr>
          <w:rFonts w:ascii="黑体" w:hAnsi="黑体" w:eastAsia="黑体"/>
          <w:sz w:val="32"/>
          <w:szCs w:val="32"/>
        </w:rPr>
      </w:pPr>
      <w:r>
        <w:rPr>
          <w:rFonts w:hint="eastAsia" w:ascii="黑体" w:hAnsi="黑体" w:eastAsia="黑体"/>
          <w:sz w:val="32"/>
          <w:szCs w:val="32"/>
        </w:rPr>
        <w:t xml:space="preserve">四、财政拨款收入支出决算总体情况说明 </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2023年度收、支总计519.29万元，与2022年相比，收、支总计减少43.71万元，减少了7.76%。主要原因是202年减少了两个在职人员和压缩了公用经费开支。</w:t>
      </w:r>
    </w:p>
    <w:p>
      <w:pPr>
        <w:ind w:firstLine="640" w:firstLineChars="200"/>
        <w:rPr>
          <w:rFonts w:hint="eastAsia" w:ascii="Times New Roman" w:hAnsi="Times New Roman" w:eastAsia="仿宋_GB2312" w:cs="Times New Roman"/>
          <w:sz w:val="32"/>
          <w:szCs w:val="32"/>
        </w:rPr>
      </w:pPr>
    </w:p>
    <w:p>
      <w:pPr>
        <w:ind w:firstLine="640" w:firstLineChars="200"/>
        <w:rPr>
          <w:rFonts w:ascii="黑体" w:hAnsi="黑体" w:eastAsia="黑体"/>
          <w:sz w:val="32"/>
          <w:szCs w:val="32"/>
        </w:rPr>
      </w:pPr>
      <w:r>
        <w:rPr>
          <w:rFonts w:hint="eastAsia" w:ascii="黑体" w:hAnsi="黑体" w:eastAsia="黑体"/>
          <w:sz w:val="32"/>
          <w:szCs w:val="32"/>
        </w:rPr>
        <w:t>五、一般公共预算财政拨款支出决算情况说明</w:t>
      </w:r>
    </w:p>
    <w:p>
      <w:pPr>
        <w:ind w:firstLine="640" w:firstLineChars="200"/>
        <w:rPr>
          <w:rFonts w:ascii="楷体_GB2312" w:eastAsia="楷体_GB2312"/>
          <w:sz w:val="32"/>
          <w:szCs w:val="32"/>
        </w:rPr>
      </w:pPr>
      <w:r>
        <w:rPr>
          <w:rFonts w:hint="eastAsia" w:ascii="楷体_GB2312" w:eastAsia="楷体_GB2312"/>
          <w:sz w:val="32"/>
          <w:szCs w:val="32"/>
        </w:rPr>
        <w:t>（一）一般公共预算拨款支出总体情况</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2023年度财政拨款支出267.01万元，占本年支出合计的98.02%。与2021年度相比，比上年增加54.26万元，主要原因增加了项目资金的支出。</w:t>
      </w:r>
    </w:p>
    <w:p>
      <w:pPr>
        <w:ind w:firstLine="640" w:firstLineChars="200"/>
        <w:rPr>
          <w:rFonts w:ascii="楷体_GB2312" w:eastAsia="楷体_GB2312"/>
          <w:sz w:val="32"/>
          <w:szCs w:val="32"/>
        </w:rPr>
      </w:pPr>
      <w:r>
        <w:rPr>
          <w:rFonts w:hint="eastAsia" w:ascii="楷体_GB2312" w:eastAsia="楷体_GB2312"/>
          <w:sz w:val="32"/>
          <w:szCs w:val="32"/>
        </w:rPr>
        <w:t>（二）一般公共预算拨款支出决算结构情况</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一般公共预算拨款支出267.01万元，主要用于以下方面：农林水支出208.9万元，占本年支出的78.2%；住房保障支出12.84万元，占本年支出的4.8%；其他支出16万元，占本年支出的6.13%。其他水利支出29.2万元，占本年支出的10.87%。</w:t>
      </w:r>
    </w:p>
    <w:p>
      <w:pPr>
        <w:ind w:firstLine="640" w:firstLineChars="200"/>
        <w:rPr>
          <w:rFonts w:hint="eastAsia" w:ascii="楷体_GB2312" w:eastAsia="楷体_GB2312" w:cs="Times New Roman"/>
          <w:sz w:val="32"/>
          <w:szCs w:val="32"/>
        </w:rPr>
      </w:pPr>
      <w:r>
        <w:rPr>
          <w:rFonts w:hint="eastAsia" w:ascii="楷体_GB2312" w:eastAsia="楷体_GB2312" w:cs="Times New Roman"/>
          <w:sz w:val="32"/>
          <w:szCs w:val="32"/>
        </w:rPr>
        <w:t>（三）一般公共预算拨款支出决算具体情况</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2023年度财政拨款支出年初预算为202.6万元，支出决算为259.67万元，完成年初预算的128.16%。支出决算大于年初预算的主要原因是增加了项目资金。</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其中：按经济分类：工资福利支出180.35万元，商品和服务支出15.83万元，对个人和家庭的补助1.19万元，资本性支出0万元,项目支出62.29万元。</w:t>
      </w:r>
    </w:p>
    <w:p>
      <w:pPr>
        <w:ind w:firstLine="640" w:firstLineChars="200"/>
        <w:rPr>
          <w:rFonts w:hint="eastAsia" w:ascii="Times New Roman" w:hAnsi="Times New Roman" w:eastAsia="仿宋_GB2312" w:cs="Times New Roman"/>
          <w:sz w:val="32"/>
          <w:szCs w:val="32"/>
        </w:rPr>
      </w:pPr>
    </w:p>
    <w:p>
      <w:pPr>
        <w:ind w:firstLine="640" w:firstLineChars="200"/>
        <w:rPr>
          <w:rFonts w:ascii="黑体" w:hAnsi="黑体" w:eastAsia="黑体"/>
          <w:sz w:val="32"/>
          <w:szCs w:val="32"/>
        </w:rPr>
      </w:pPr>
      <w:r>
        <w:rPr>
          <w:rFonts w:hint="eastAsia" w:ascii="黑体" w:hAnsi="黑体" w:eastAsia="黑体"/>
          <w:sz w:val="32"/>
          <w:szCs w:val="32"/>
        </w:rPr>
        <w:t>六、一般公共预算财政拨款基本支出决算情况说明</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2023年度一般公共预算财政拨款基本支出197.37万元。其中:</w:t>
      </w:r>
    </w:p>
    <w:p>
      <w:pPr>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人员经费181.54万元，主要包括：按国家规定支出的基本工资69.74万元、津贴补贴32.39万元、奖金23.8万元、伙食补助费5.42万元、机关事业单位基本养老保险缴费17.14万元、职工医疗保险缴费9.54万元、住房公积金18.74万元、其他社会保障缴费2.94万元、其他工资福利支出0万元；</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公用经费15.83万元，主要包括：办公费0万元、印刷费0万元、水费0万元、电费0万元、邮电费0万元、劳务费1.7万元、差旅费0.18万元、会议费0.3万元、培训费0.07万元、公务接待费0.8万元、工会经费3.06万元；福利费3.03万元，其他交通费用支出6.72万元。</w:t>
      </w:r>
    </w:p>
    <w:p>
      <w:pPr>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其他对个人和家庭的补助支出1.19万元</w:t>
      </w:r>
      <w:r>
        <w:rPr>
          <w:rFonts w:hint="eastAsia" w:ascii="Times New Roman" w:hAnsi="Times New Roman" w:eastAsia="仿宋_GB2312" w:cs="Times New Roman"/>
          <w:sz w:val="32"/>
          <w:szCs w:val="32"/>
          <w:lang w:eastAsia="zh-CN"/>
        </w:rPr>
        <w:t>。</w:t>
      </w:r>
    </w:p>
    <w:p>
      <w:pPr>
        <w:ind w:firstLine="640" w:firstLineChars="200"/>
        <w:rPr>
          <w:rFonts w:hint="eastAsia" w:ascii="Times New Roman" w:hAnsi="Times New Roman" w:eastAsia="仿宋_GB2312" w:cs="Times New Roman"/>
          <w:sz w:val="32"/>
          <w:szCs w:val="32"/>
          <w:lang w:eastAsia="zh-CN"/>
        </w:rPr>
      </w:pPr>
    </w:p>
    <w:p>
      <w:pPr>
        <w:ind w:firstLine="645"/>
        <w:rPr>
          <w:rFonts w:ascii="黑体" w:hAnsi="黑体" w:eastAsia="黑体"/>
          <w:sz w:val="32"/>
          <w:szCs w:val="32"/>
        </w:rPr>
      </w:pPr>
      <w:r>
        <w:rPr>
          <w:rFonts w:hint="eastAsia" w:ascii="黑体" w:hAnsi="黑体" w:eastAsia="黑体"/>
          <w:sz w:val="32"/>
          <w:szCs w:val="32"/>
        </w:rPr>
        <w:t>七、一般公共预算财政拨款“三公”经费决算情况说明</w:t>
      </w:r>
    </w:p>
    <w:p>
      <w:pPr>
        <w:ind w:firstLine="640" w:firstLineChars="200"/>
        <w:rPr>
          <w:rFonts w:ascii="楷体_GB2312" w:eastAsia="楷体_GB2312"/>
          <w:sz w:val="32"/>
          <w:szCs w:val="32"/>
        </w:rPr>
      </w:pPr>
      <w:r>
        <w:rPr>
          <w:rFonts w:hint="eastAsia" w:ascii="楷体_GB2312" w:eastAsia="楷体_GB2312"/>
          <w:sz w:val="32"/>
          <w:szCs w:val="32"/>
        </w:rPr>
        <w:t>（一）“三公”经费财政拨款支出决算总体情况说明。</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2023年</w:t>
      </w:r>
      <w:r>
        <w:rPr>
          <w:rFonts w:hint="eastAsia" w:ascii="Times New Roman" w:hAnsi="Times New Roman" w:eastAsia="仿宋_GB2312" w:cs="Times New Roman"/>
          <w:sz w:val="32"/>
          <w:szCs w:val="32"/>
        </w:rPr>
        <w:t>度“三公”经费财</w:t>
      </w:r>
      <w:r>
        <w:rPr>
          <w:rFonts w:hint="eastAsia" w:ascii="Times New Roman" w:hAnsi="Times New Roman" w:eastAsia="仿宋_GB2312" w:cs="Times New Roman"/>
          <w:sz w:val="32"/>
          <w:szCs w:val="32"/>
          <w:lang w:val="en-US" w:eastAsia="zh-CN"/>
        </w:rPr>
        <w:t>政拨款支出预算数为1万元，</w:t>
      </w:r>
      <w:r>
        <w:rPr>
          <w:rFonts w:hint="eastAsia" w:ascii="Times New Roman" w:hAnsi="Times New Roman" w:eastAsia="仿宋_GB2312" w:cs="Times New Roman"/>
          <w:sz w:val="32"/>
          <w:szCs w:val="32"/>
        </w:rPr>
        <w:t>支出决算数为0.8万元</w:t>
      </w:r>
    </w:p>
    <w:p>
      <w:pPr>
        <w:ind w:firstLine="640" w:firstLineChars="200"/>
        <w:rPr>
          <w:rFonts w:ascii="楷体_GB2312" w:eastAsia="楷体_GB2312"/>
          <w:sz w:val="32"/>
          <w:szCs w:val="32"/>
        </w:rPr>
      </w:pPr>
      <w:r>
        <w:rPr>
          <w:rFonts w:hint="eastAsia" w:ascii="楷体_GB2312" w:eastAsia="楷体_GB2312"/>
          <w:sz w:val="32"/>
          <w:szCs w:val="32"/>
        </w:rPr>
        <w:t>（二）“三公”经费财政拨款支出决算具体情况说明。</w:t>
      </w: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2023年度“三公”经费财政拨款支出决算中，公务接待费决算数为0.8万元，占100%。公务用车维护费0万元，占0%。2023年“三公”经费决算比2022年增加0.09万元，原因本年度增加了几次上级项目审计接待开支。</w:t>
      </w:r>
    </w:p>
    <w:p>
      <w:pPr>
        <w:ind w:firstLine="640" w:firstLineChars="200"/>
        <w:rPr>
          <w:rFonts w:hint="eastAsia" w:ascii="Times New Roman" w:hAnsi="Times New Roman" w:eastAsia="仿宋_GB2312" w:cs="Times New Roman"/>
          <w:sz w:val="32"/>
          <w:szCs w:val="32"/>
          <w:lang w:eastAsia="zh-CN"/>
        </w:rPr>
      </w:pPr>
    </w:p>
    <w:p>
      <w:pPr>
        <w:ind w:firstLine="645"/>
        <w:rPr>
          <w:rFonts w:ascii="黑体" w:hAnsi="黑体" w:eastAsia="黑体"/>
          <w:sz w:val="32"/>
          <w:szCs w:val="32"/>
        </w:rPr>
      </w:pPr>
      <w:r>
        <w:rPr>
          <w:rFonts w:hint="eastAsia" w:ascii="黑体" w:hAnsi="黑体" w:eastAsia="黑体"/>
          <w:sz w:val="32"/>
          <w:szCs w:val="32"/>
        </w:rPr>
        <w:t>八、政府性基金预算收入支出决算情况</w:t>
      </w:r>
    </w:p>
    <w:p>
      <w:pPr>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2023年政府性基金年收入21.2万元,2022年政府性基金本年收入0万元。原因是去年没有政府性基金</w:t>
      </w:r>
      <w:r>
        <w:rPr>
          <w:rFonts w:hint="eastAsia" w:ascii="Times New Roman" w:hAnsi="Times New Roman" w:eastAsia="仿宋_GB2312" w:cs="Times New Roman"/>
          <w:sz w:val="32"/>
          <w:szCs w:val="32"/>
          <w:lang w:eastAsia="zh-CN"/>
        </w:rPr>
        <w:t>。</w:t>
      </w:r>
    </w:p>
    <w:p>
      <w:pPr>
        <w:ind w:firstLine="640" w:firstLineChars="200"/>
        <w:rPr>
          <w:rFonts w:hint="eastAsia" w:ascii="Times New Roman" w:hAnsi="Times New Roman" w:eastAsia="仿宋_GB2312" w:cs="Times New Roman"/>
          <w:sz w:val="32"/>
          <w:szCs w:val="32"/>
          <w:lang w:eastAsia="zh-CN"/>
        </w:rPr>
      </w:pPr>
    </w:p>
    <w:p>
      <w:pPr>
        <w:pStyle w:val="13"/>
        <w:spacing w:line="600" w:lineRule="exact"/>
        <w:ind w:firstLine="640" w:firstLineChars="200"/>
        <w:rPr>
          <w:rFonts w:ascii="宋体" w:hAnsi="宋体" w:eastAsia="宋体"/>
          <w:b/>
          <w:sz w:val="32"/>
          <w:szCs w:val="32"/>
        </w:rPr>
      </w:pPr>
      <w:r>
        <w:rPr>
          <w:rFonts w:hint="eastAsia" w:ascii="宋体" w:hAnsi="宋体" w:eastAsia="宋体"/>
          <w:b/>
          <w:sz w:val="32"/>
          <w:szCs w:val="32"/>
        </w:rPr>
        <w:t>九、关于机关运行经费支出说明</w:t>
      </w:r>
    </w:p>
    <w:p>
      <w:pPr>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本部门2023年度机关运行经费支出15.63万元，比上年度减少2.5万元，减少13.79%。主要原因是：财政压减了公用经费开支。</w:t>
      </w:r>
    </w:p>
    <w:p>
      <w:pPr>
        <w:ind w:firstLine="640" w:firstLineChars="200"/>
        <w:rPr>
          <w:rFonts w:hint="eastAsia" w:ascii="Times New Roman" w:hAnsi="Times New Roman" w:eastAsia="仿宋_GB2312" w:cs="Times New Roman"/>
          <w:sz w:val="32"/>
          <w:szCs w:val="32"/>
          <w:lang w:val="en-US" w:eastAsia="zh-CN"/>
        </w:rPr>
      </w:pPr>
    </w:p>
    <w:p>
      <w:pPr>
        <w:pStyle w:val="13"/>
        <w:spacing w:line="600" w:lineRule="exact"/>
        <w:ind w:firstLine="640" w:firstLineChars="200"/>
        <w:rPr>
          <w:rFonts w:ascii="宋体" w:hAnsi="宋体" w:eastAsia="宋体"/>
          <w:b/>
          <w:bCs/>
          <w:sz w:val="32"/>
          <w:szCs w:val="32"/>
        </w:rPr>
      </w:pPr>
      <w:r>
        <w:rPr>
          <w:rFonts w:hint="eastAsia" w:ascii="宋体" w:hAnsi="宋体" w:eastAsia="宋体" w:cs="黑体"/>
          <w:b/>
          <w:bCs/>
          <w:sz w:val="32"/>
          <w:szCs w:val="32"/>
          <w:lang w:val="en-US" w:eastAsia="zh-CN"/>
        </w:rPr>
        <w:t>十</w:t>
      </w:r>
      <w:r>
        <w:rPr>
          <w:rFonts w:hint="eastAsia" w:ascii="宋体" w:hAnsi="宋体" w:eastAsia="方正仿宋简体" w:cs="Arial"/>
          <w:color w:val="auto"/>
          <w:kern w:val="0"/>
          <w:sz w:val="32"/>
          <w:szCs w:val="32"/>
          <w:lang w:val="en-US" w:eastAsia="zh-CN" w:bidi="ar-SA"/>
        </w:rPr>
        <w:t>、一</w:t>
      </w:r>
      <w:r>
        <w:rPr>
          <w:rFonts w:hint="eastAsia" w:ascii="宋体" w:hAnsi="宋体" w:eastAsia="宋体"/>
          <w:b/>
          <w:bCs/>
          <w:sz w:val="32"/>
          <w:szCs w:val="32"/>
        </w:rPr>
        <w:t>般性支出情况说明</w:t>
      </w:r>
    </w:p>
    <w:p>
      <w:pPr>
        <w:pStyle w:val="13"/>
        <w:spacing w:line="600" w:lineRule="exact"/>
        <w:ind w:firstLine="640" w:firstLineChars="200"/>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2023年本部门开支会议费0.3万元，主要用于两个重点移民乡镇相关人员来本中心开展移民项目资金的规范使用及项目实施的重点指导工作。</w:t>
      </w:r>
    </w:p>
    <w:p>
      <w:pPr>
        <w:pStyle w:val="13"/>
        <w:spacing w:line="600" w:lineRule="exact"/>
        <w:ind w:firstLine="640" w:firstLineChars="200"/>
        <w:rPr>
          <w:rFonts w:hint="default" w:ascii="Times New Roman" w:hAnsi="Times New Roman" w:eastAsia="仿宋_GB2312" w:cs="Times New Roman"/>
          <w:color w:val="auto"/>
          <w:kern w:val="2"/>
          <w:sz w:val="32"/>
          <w:szCs w:val="32"/>
          <w:lang w:val="en-US" w:eastAsia="zh-CN" w:bidi="ar-SA"/>
        </w:rPr>
      </w:pPr>
    </w:p>
    <w:p>
      <w:pPr>
        <w:pStyle w:val="13"/>
        <w:spacing w:line="600" w:lineRule="exact"/>
        <w:ind w:firstLine="640" w:firstLineChars="200"/>
        <w:rPr>
          <w:rFonts w:ascii="宋体" w:hAnsi="宋体" w:eastAsia="宋体"/>
          <w:b/>
          <w:bCs/>
          <w:sz w:val="32"/>
          <w:szCs w:val="32"/>
        </w:rPr>
      </w:pPr>
      <w:r>
        <w:rPr>
          <w:rFonts w:hint="eastAsia" w:ascii="宋体" w:hAnsi="宋体" w:eastAsia="宋体"/>
          <w:b/>
          <w:bCs/>
          <w:sz w:val="32"/>
          <w:szCs w:val="32"/>
        </w:rPr>
        <w:t>十一、关于政府采购支出说明</w:t>
      </w:r>
    </w:p>
    <w:p>
      <w:pPr>
        <w:pStyle w:val="13"/>
        <w:spacing w:line="600" w:lineRule="exact"/>
        <w:ind w:firstLine="640" w:firstLineChars="200"/>
        <w:rPr>
          <w:rFonts w:hint="eastAsia" w:ascii="Times New Roman" w:hAnsi="Times New Roman" w:eastAsia="仿宋_GB2312" w:cs="Times New Roman"/>
          <w:color w:val="auto"/>
          <w:kern w:val="2"/>
          <w:sz w:val="32"/>
          <w:szCs w:val="32"/>
          <w:lang w:val="en-US" w:eastAsia="zh-CN" w:bidi="ar-SA"/>
        </w:rPr>
      </w:pPr>
      <w:r>
        <w:rPr>
          <w:rFonts w:hint="eastAsia" w:ascii="宋体" w:hAnsi="宋体" w:eastAsia="方正仿宋简体" w:cs="Arial"/>
          <w:color w:val="auto"/>
          <w:kern w:val="0"/>
          <w:sz w:val="32"/>
          <w:szCs w:val="32"/>
          <w:lang w:val="en-US" w:eastAsia="zh-CN" w:bidi="ar-SA"/>
        </w:rPr>
        <w:t>本</w:t>
      </w:r>
      <w:r>
        <w:rPr>
          <w:rFonts w:hint="eastAsia" w:ascii="Times New Roman" w:hAnsi="Times New Roman" w:eastAsia="仿宋_GB2312" w:cs="Times New Roman"/>
          <w:color w:val="auto"/>
          <w:kern w:val="2"/>
          <w:sz w:val="32"/>
          <w:szCs w:val="32"/>
          <w:lang w:val="en-US" w:eastAsia="zh-CN" w:bidi="ar-SA"/>
        </w:rPr>
        <w:t>部门2023年度政府采购货物支出0万元。</w:t>
      </w:r>
    </w:p>
    <w:p>
      <w:pPr>
        <w:pStyle w:val="13"/>
        <w:spacing w:line="600" w:lineRule="exact"/>
        <w:ind w:firstLine="640" w:firstLineChars="200"/>
        <w:rPr>
          <w:rFonts w:hint="eastAsia" w:ascii="Times New Roman" w:hAnsi="Times New Roman" w:eastAsia="仿宋_GB2312" w:cs="Times New Roman"/>
          <w:color w:val="auto"/>
          <w:kern w:val="2"/>
          <w:sz w:val="32"/>
          <w:szCs w:val="32"/>
          <w:lang w:val="en-US" w:eastAsia="zh-CN" w:bidi="ar-SA"/>
        </w:rPr>
      </w:pPr>
    </w:p>
    <w:p>
      <w:pPr>
        <w:pStyle w:val="13"/>
        <w:spacing w:line="600" w:lineRule="exact"/>
        <w:ind w:firstLine="640" w:firstLineChars="200"/>
        <w:rPr>
          <w:rFonts w:ascii="宋体" w:hAnsi="宋体" w:eastAsia="宋体"/>
          <w:b/>
          <w:bCs/>
          <w:sz w:val="32"/>
          <w:szCs w:val="32"/>
        </w:rPr>
      </w:pPr>
      <w:r>
        <w:rPr>
          <w:rFonts w:hint="eastAsia" w:ascii="宋体" w:hAnsi="宋体" w:eastAsia="宋体"/>
          <w:b/>
          <w:bCs/>
          <w:sz w:val="32"/>
          <w:szCs w:val="32"/>
        </w:rPr>
        <w:t>十二、关于国有资产占用情况说明</w:t>
      </w:r>
    </w:p>
    <w:p>
      <w:pPr>
        <w:pStyle w:val="13"/>
        <w:spacing w:line="600" w:lineRule="exact"/>
        <w:ind w:firstLine="640" w:firstLineChars="200"/>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截至2023年12月31日，本单位共有车辆0辆，单位价值50万元以上通用设备0台（套）；单位价值100万元以上专用设备0台（套）。</w:t>
      </w:r>
    </w:p>
    <w:p>
      <w:pPr>
        <w:pStyle w:val="13"/>
        <w:spacing w:line="600" w:lineRule="exact"/>
        <w:ind w:firstLine="640" w:firstLineChars="200"/>
        <w:rPr>
          <w:rFonts w:hint="eastAsia" w:ascii="Times New Roman" w:hAnsi="Times New Roman" w:eastAsia="仿宋_GB2312" w:cs="Times New Roman"/>
          <w:color w:val="auto"/>
          <w:kern w:val="2"/>
          <w:sz w:val="32"/>
          <w:szCs w:val="32"/>
          <w:lang w:val="en-US" w:eastAsia="zh-CN" w:bidi="ar-SA"/>
        </w:rPr>
      </w:pPr>
    </w:p>
    <w:p>
      <w:pPr>
        <w:pStyle w:val="13"/>
        <w:spacing w:line="600" w:lineRule="exact"/>
        <w:ind w:firstLine="640" w:firstLineChars="200"/>
        <w:rPr>
          <w:rFonts w:hint="eastAsia" w:ascii="宋体" w:hAnsi="宋体" w:eastAsia="宋体" w:cs="黑体"/>
          <w:b/>
          <w:bCs/>
          <w:sz w:val="32"/>
          <w:szCs w:val="32"/>
        </w:rPr>
      </w:pPr>
      <w:r>
        <w:rPr>
          <w:rFonts w:hint="eastAsia" w:ascii="宋体" w:hAnsi="宋体" w:eastAsia="宋体" w:cs="黑体"/>
          <w:b/>
          <w:bCs/>
          <w:sz w:val="32"/>
          <w:szCs w:val="32"/>
          <w:lang w:val="en-US" w:eastAsia="zh-CN"/>
        </w:rPr>
        <w:t>十三、关于</w:t>
      </w:r>
      <w:r>
        <w:rPr>
          <w:rFonts w:hint="eastAsia" w:ascii="Times New Roman" w:hAnsi="Times New Roman" w:eastAsia="仿宋_GB2312" w:cs="Times New Roman"/>
          <w:color w:val="auto"/>
          <w:kern w:val="2"/>
          <w:sz w:val="32"/>
          <w:szCs w:val="32"/>
          <w:lang w:val="en-US" w:eastAsia="zh-CN" w:bidi="ar-SA"/>
        </w:rPr>
        <w:t>2023</w:t>
      </w:r>
      <w:r>
        <w:rPr>
          <w:rFonts w:hint="eastAsia" w:ascii="宋体" w:hAnsi="宋体" w:eastAsia="宋体" w:cs="黑体"/>
          <w:b/>
          <w:bCs/>
          <w:sz w:val="32"/>
          <w:szCs w:val="32"/>
        </w:rPr>
        <w:t>年度预算绩效情况的说明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eastAsia="zh-CN"/>
        </w:rPr>
        <w:t>（一）绩效管理工作开展情况</w:t>
      </w:r>
      <w:r>
        <w:rPr>
          <w:rFonts w:hint="eastAsia" w:ascii="楷体" w:hAnsi="楷体" w:eastAsia="楷体" w:cs="楷体"/>
          <w:b/>
          <w:bCs/>
          <w:sz w:val="32"/>
          <w:szCs w:val="32"/>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0" w:leftChars="0" w:firstLine="729" w:firstLineChars="228"/>
        <w:jc w:val="both"/>
        <w:rPr>
          <w:rFonts w:hint="default" w:ascii="宋体" w:hAnsi="宋体" w:eastAsia="方正仿宋简体" w:cs="Arial"/>
          <w:color w:val="auto"/>
          <w:kern w:val="0"/>
          <w:sz w:val="32"/>
          <w:szCs w:val="32"/>
          <w:lang w:val="en-US" w:eastAsia="zh-CN"/>
        </w:rPr>
      </w:pPr>
      <w:r>
        <w:rPr>
          <w:rFonts w:hint="eastAsia" w:ascii="宋体" w:hAnsi="宋体" w:eastAsia="方正仿宋简体" w:cs="Arial"/>
          <w:color w:val="auto"/>
          <w:kern w:val="0"/>
          <w:sz w:val="32"/>
          <w:szCs w:val="32"/>
          <w:lang w:val="en-US" w:eastAsia="zh-CN"/>
        </w:rPr>
        <w:t>本单位整体支出绩效目标实现情况。我单位严格按照年初预算进行部门整体支出，真对照评估指标，按照年度工作计划扎实推进2023年度财政支出绩效自评工作。</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（二）部门整体支出绩效情况</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仿宋_GB2312" w:cs="Times New Roman"/>
          <w:color w:val="auto"/>
          <w:kern w:val="2"/>
          <w:sz w:val="32"/>
          <w:szCs w:val="32"/>
          <w:lang w:val="en-US" w:eastAsia="zh-CN" w:bidi="ar-SA"/>
        </w:rPr>
      </w:pPr>
      <w:r>
        <w:rPr>
          <w:rFonts w:hint="eastAsia" w:ascii="宋体" w:hAnsi="宋体" w:eastAsia="方正仿宋简体" w:cs="Arial"/>
          <w:color w:val="auto"/>
          <w:kern w:val="0"/>
          <w:sz w:val="32"/>
          <w:szCs w:val="32"/>
        </w:rPr>
        <w:t>个性指标：</w:t>
      </w:r>
      <w:r>
        <w:rPr>
          <w:rFonts w:hint="eastAsia" w:ascii="Times New Roman" w:hAnsi="Times New Roman" w:eastAsia="仿宋_GB2312" w:cs="Times New Roman"/>
          <w:color w:val="auto"/>
          <w:kern w:val="2"/>
          <w:sz w:val="32"/>
          <w:szCs w:val="32"/>
          <w:lang w:val="en-US" w:eastAsia="zh-CN" w:bidi="ar-SA"/>
        </w:rPr>
        <w:t>2023年，上级部门对市库区移民事务中心绩效考核工作有：一是重点民生实事，二是移民产业开发项目，三是移民培训，四是移民资金管理。</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2023年度移民专项争资经费给我局圆满完成了市委市政府下达的立项争资任务，全年共争取了上级资金5762.66万元，资金绩效显著。具体表现如下：</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仿宋_GB2312" w:cs="Times New Roman"/>
          <w:color w:val="auto"/>
          <w:kern w:val="2"/>
          <w:sz w:val="32"/>
          <w:szCs w:val="32"/>
          <w:lang w:val="en-US" w:eastAsia="zh-CN" w:bidi="ar-SA"/>
        </w:rPr>
      </w:pPr>
      <w:r>
        <w:rPr>
          <w:rFonts w:ascii="仿宋_GB2312" w:eastAsia="方正仿宋简体"/>
          <w:color w:val="auto"/>
          <w:sz w:val="32"/>
          <w:szCs w:val="32"/>
        </w:rPr>
        <w:t>1</w:t>
      </w:r>
      <w:r>
        <w:rPr>
          <w:rFonts w:hint="eastAsia" w:ascii="仿宋_GB2312" w:eastAsia="方正仿宋简体"/>
          <w:color w:val="auto"/>
          <w:sz w:val="32"/>
          <w:szCs w:val="32"/>
        </w:rPr>
        <w:t>、统</w:t>
      </w:r>
      <w:r>
        <w:rPr>
          <w:rFonts w:hint="eastAsia" w:ascii="Times New Roman" w:hAnsi="Times New Roman" w:eastAsia="仿宋_GB2312" w:cs="Times New Roman"/>
          <w:color w:val="auto"/>
          <w:kern w:val="2"/>
          <w:sz w:val="32"/>
          <w:szCs w:val="32"/>
          <w:lang w:val="en-US" w:eastAsia="zh-CN" w:bidi="ar-SA"/>
        </w:rPr>
        <w:t>筹安排，加强后扶政策措施，严格按照上级要求，加强后扶人口动态管理，足额发放移民后扶直补资金578.1万元，实际发放人数9635人，加强移民技能培训4批次1184人。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仿宋_GB2312" w:cs="Times New Roman"/>
          <w:color w:val="auto"/>
          <w:kern w:val="2"/>
          <w:sz w:val="32"/>
          <w:szCs w:val="32"/>
          <w:lang w:val="en-US" w:eastAsia="zh-CN" w:bidi="ar-SA"/>
        </w:rPr>
      </w:pPr>
      <w:r>
        <w:rPr>
          <w:rFonts w:ascii="仿宋_GB2312" w:eastAsia="方正仿宋简体"/>
          <w:color w:val="auto"/>
          <w:sz w:val="32"/>
          <w:szCs w:val="32"/>
        </w:rPr>
        <w:t>2</w:t>
      </w:r>
      <w:r>
        <w:rPr>
          <w:rFonts w:hint="eastAsia" w:ascii="仿宋_GB2312" w:eastAsia="方正仿宋简体"/>
          <w:color w:val="auto"/>
          <w:sz w:val="32"/>
          <w:szCs w:val="32"/>
        </w:rPr>
        <w:t>、</w:t>
      </w:r>
      <w:r>
        <w:rPr>
          <w:rFonts w:hint="eastAsia" w:ascii="Times New Roman" w:hAnsi="Times New Roman" w:eastAsia="仿宋_GB2312" w:cs="Times New Roman"/>
          <w:color w:val="auto"/>
          <w:kern w:val="2"/>
          <w:sz w:val="32"/>
          <w:szCs w:val="32"/>
          <w:lang w:val="en-US" w:eastAsia="zh-CN" w:bidi="ar-SA"/>
        </w:rPr>
        <w:t>强化2023年好项目资金定期调度机制，聚焦移民后扶政策落实，一卡通惠农资金发放，“十四五”规划的实施，重点移民村建设，产业示范项目建设。</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仿宋_GB2312" w:cs="Times New Roman"/>
          <w:color w:val="auto"/>
          <w:kern w:val="2"/>
          <w:sz w:val="32"/>
          <w:szCs w:val="32"/>
          <w:lang w:val="en-US" w:eastAsia="zh-CN" w:bidi="ar-SA"/>
        </w:rPr>
      </w:pPr>
      <w:r>
        <w:rPr>
          <w:rFonts w:ascii="仿宋_GB2312" w:eastAsia="方正仿宋简体"/>
          <w:color w:val="auto"/>
          <w:sz w:val="32"/>
          <w:szCs w:val="32"/>
        </w:rPr>
        <w:t>3</w:t>
      </w:r>
      <w:r>
        <w:rPr>
          <w:rFonts w:hint="eastAsia" w:ascii="仿宋_GB2312" w:eastAsia="方正仿宋简体"/>
          <w:color w:val="auto"/>
          <w:sz w:val="32"/>
          <w:szCs w:val="32"/>
        </w:rPr>
        <w:t>、抓</w:t>
      </w:r>
      <w:r>
        <w:rPr>
          <w:rFonts w:hint="eastAsia" w:ascii="Times New Roman" w:hAnsi="Times New Roman" w:eastAsia="仿宋_GB2312" w:cs="Times New Roman"/>
          <w:color w:val="auto"/>
          <w:kern w:val="2"/>
          <w:sz w:val="32"/>
          <w:szCs w:val="32"/>
          <w:lang w:val="en-US" w:eastAsia="zh-CN" w:bidi="ar-SA"/>
        </w:rPr>
        <w:t>风险稳控，促大局稳定。创建“中心引导、属地主管、信息共享、上下连动”机制，定期排查风险，及时准确把握信息动态，深入分析补稳定因素，尽量把矛盾和问题化解在萌芽状态中，截止目前，全市6年无移民非法进省金京上访情况，移民群众整体稳定，获得上级充分肯定。</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宋体" w:hAnsi="宋体" w:eastAsia="宋体" w:cs="仿宋"/>
          <w:bCs/>
          <w:sz w:val="32"/>
          <w:szCs w:val="32"/>
          <w:lang w:val="en-US" w:eastAsia="zh-CN"/>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方正仿宋简体" w:hAnsi="方正仿宋简体" w:eastAsia="方正仿宋简体" w:cs="方正仿宋简体"/>
          <w:color w:val="auto"/>
          <w:sz w:val="32"/>
          <w:szCs w:val="32"/>
        </w:rPr>
      </w:pPr>
      <w:r>
        <w:rPr>
          <w:rFonts w:ascii="仿宋_GB2312" w:eastAsia="方正仿宋简体"/>
          <w:color w:val="auto"/>
          <w:sz w:val="32"/>
          <w:szCs w:val="32"/>
        </w:rPr>
        <w:t>1</w:t>
      </w:r>
      <w:r>
        <w:rPr>
          <w:rFonts w:hint="eastAsia" w:ascii="仿宋_GB2312" w:eastAsia="方正仿宋简体"/>
          <w:color w:val="auto"/>
          <w:sz w:val="32"/>
          <w:szCs w:val="32"/>
        </w:rPr>
        <w:t>、</w:t>
      </w:r>
      <w:r>
        <w:rPr>
          <w:rFonts w:hint="eastAsia" w:ascii="楷体_GB2312" w:eastAsia="楷体_GB2312" w:cs="Times New Roman"/>
          <w:sz w:val="32"/>
          <w:szCs w:val="32"/>
        </w:rPr>
        <w:t>产业发展基础比较薄弱。</w:t>
      </w:r>
      <w:r>
        <w:rPr>
          <w:rFonts w:hint="eastAsia" w:ascii="仿宋_GB2312" w:hAnsi="黑体" w:eastAsia="方正仿宋简体" w:cs="方正仿宋简体"/>
          <w:color w:val="auto"/>
          <w:sz w:val="32"/>
          <w:szCs w:val="32"/>
        </w:rPr>
        <w:t>四季红腐乳产业去年才形成规模，入园企业从事大规模生产还有一个适用阶段，蔺草产业也是去年才见成效，虾稻产业虽然在养殖方面形成规模，但虾稻产业链延伸不够，没有收贮，错峰销售，更没有延伸到消费终端完善的产业链，虾稻的附加值不高，品牌不亮，其他产业都还只是初具雏形，发展壮大需要后续的不断支持。</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华文仿宋" w:hAnsi="华文仿宋" w:eastAsia="方正仿宋简体" w:cs="仿宋_GB2312"/>
          <w:color w:val="auto"/>
          <w:kern w:val="0"/>
          <w:sz w:val="32"/>
          <w:szCs w:val="32"/>
        </w:rPr>
      </w:pPr>
      <w:r>
        <w:rPr>
          <w:rFonts w:ascii="仿宋_GB2312" w:eastAsia="方正仿宋简体"/>
          <w:color w:val="auto"/>
          <w:sz w:val="32"/>
          <w:szCs w:val="32"/>
        </w:rPr>
        <w:t>2</w:t>
      </w:r>
      <w:r>
        <w:rPr>
          <w:rFonts w:hint="eastAsia" w:ascii="仿宋_GB2312" w:eastAsia="方正仿宋简体"/>
          <w:color w:val="auto"/>
          <w:sz w:val="32"/>
          <w:szCs w:val="32"/>
        </w:rPr>
        <w:t>、</w:t>
      </w:r>
      <w:r>
        <w:rPr>
          <w:rFonts w:hint="eastAsia" w:eastAsia="方正楷体简体" w:cs="Times New Roman"/>
          <w:bCs/>
          <w:color w:val="auto"/>
          <w:sz w:val="32"/>
          <w:szCs w:val="32"/>
        </w:rPr>
        <w:t>移民干部队伍力量薄弱。</w:t>
      </w:r>
      <w:r>
        <w:rPr>
          <w:rFonts w:hint="eastAsia" w:ascii="华文仿宋" w:hAnsi="华文仿宋" w:eastAsia="方正仿宋简体" w:cs="仿宋_GB2312"/>
          <w:color w:val="auto"/>
          <w:kern w:val="0"/>
          <w:sz w:val="32"/>
          <w:szCs w:val="32"/>
        </w:rPr>
        <w:t>随着机构改革和管理体制的变化，我市移民工作机构干部队伍建设有所弱化，由于单位涉及参公，近几年一直不能招聘人员，导致机关干部职工年龄普遍偏大，后备力量严重不足，队伍青黄不接，</w:t>
      </w:r>
      <w:r>
        <w:rPr>
          <w:rFonts w:hint="eastAsia" w:ascii="方正仿宋简体" w:eastAsia="方正仿宋简体"/>
          <w:color w:val="auto"/>
          <w:sz w:val="32"/>
          <w:szCs w:val="32"/>
        </w:rPr>
        <w:t>特别是财务、工程2位专业人员已相继退休（现有财务人员是</w:t>
      </w:r>
      <w:r>
        <w:rPr>
          <w:rFonts w:hint="eastAsia" w:ascii="方正仿宋简体" w:eastAsia="方正仿宋简体"/>
          <w:color w:val="auto"/>
          <w:sz w:val="32"/>
          <w:szCs w:val="32"/>
          <w:lang w:val="en-US" w:eastAsia="zh-CN"/>
        </w:rPr>
        <w:t>临</w:t>
      </w:r>
      <w:r>
        <w:rPr>
          <w:rFonts w:hint="eastAsia" w:ascii="方正仿宋简体" w:eastAsia="方正仿宋简体"/>
          <w:color w:val="auto"/>
          <w:sz w:val="32"/>
          <w:szCs w:val="32"/>
        </w:rPr>
        <w:t>聘已退休人员），严重</w:t>
      </w:r>
      <w:r>
        <w:rPr>
          <w:rFonts w:hint="eastAsia" w:ascii="华文仿宋" w:hAnsi="华文仿宋" w:eastAsia="方正仿宋简体" w:cs="仿宋_GB2312"/>
          <w:color w:val="auto"/>
          <w:kern w:val="0"/>
          <w:sz w:val="32"/>
          <w:szCs w:val="32"/>
        </w:rPr>
        <w:t>影响移民工作的长期开展。</w:t>
      </w:r>
    </w:p>
    <w:p>
      <w:pPr>
        <w:keepNext w:val="0"/>
        <w:keepLines w:val="0"/>
        <w:pageBreakBefore w:val="0"/>
        <w:kinsoku/>
        <w:wordWrap/>
        <w:overflowPunct/>
        <w:topLinePunct w:val="0"/>
        <w:autoSpaceDE/>
        <w:autoSpaceDN/>
        <w:bidi w:val="0"/>
        <w:adjustRightInd/>
        <w:snapToGrid/>
        <w:spacing w:line="576" w:lineRule="exact"/>
        <w:ind w:firstLine="960" w:firstLineChars="300"/>
        <w:jc w:val="both"/>
        <w:rPr>
          <w:rFonts w:ascii="仿宋" w:hAnsi="仿宋" w:eastAsia="仿宋"/>
          <w:color w:val="auto"/>
          <w:sz w:val="32"/>
          <w:szCs w:val="32"/>
        </w:rPr>
      </w:pPr>
      <w:r>
        <w:rPr>
          <w:rFonts w:ascii="仿宋_GB2312" w:eastAsia="方正仿宋简体"/>
          <w:color w:val="auto"/>
          <w:sz w:val="32"/>
          <w:szCs w:val="32"/>
        </w:rPr>
        <w:t>3</w:t>
      </w:r>
      <w:r>
        <w:rPr>
          <w:rFonts w:hint="eastAsia" w:ascii="仿宋_GB2312" w:eastAsia="方正仿宋简体"/>
          <w:color w:val="auto"/>
          <w:sz w:val="32"/>
          <w:szCs w:val="32"/>
        </w:rPr>
        <w:t>、</w:t>
      </w:r>
      <w:r>
        <w:rPr>
          <w:rFonts w:hint="eastAsia" w:eastAsia="方正楷体简体" w:cs="Times New Roman"/>
          <w:bCs/>
          <w:color w:val="auto"/>
          <w:sz w:val="32"/>
          <w:szCs w:val="32"/>
        </w:rPr>
        <w:t>转型发展期维稳压力较大。</w:t>
      </w:r>
      <w:r>
        <w:rPr>
          <w:rFonts w:ascii="仿宋" w:hAnsi="仿宋" w:eastAsia="仿宋" w:cs="宋体"/>
          <w:color w:val="auto"/>
          <w:sz w:val="32"/>
          <w:szCs w:val="32"/>
        </w:rPr>
        <w:t>由于历史等方面的原因，</w:t>
      </w:r>
      <w:r>
        <w:rPr>
          <w:rFonts w:hint="eastAsia" w:ascii="仿宋" w:hAnsi="仿宋" w:eastAsia="仿宋" w:cs="宋体"/>
          <w:color w:val="auto"/>
          <w:sz w:val="32"/>
          <w:szCs w:val="32"/>
        </w:rPr>
        <w:t>加上一些优惠政策在各地实施的不同，造成移民群众对政策不理解，特别是我市四季红镇的移民要求享受与常德西湖区移民享受同等待遇的呼声越来越高</w:t>
      </w:r>
      <w:r>
        <w:rPr>
          <w:rFonts w:hint="eastAsia" w:ascii="仿宋" w:hAnsi="仿宋" w:eastAsia="仿宋"/>
          <w:color w:val="auto"/>
          <w:sz w:val="32"/>
          <w:szCs w:val="32"/>
        </w:rPr>
        <w:t>，使我市移民维稳压力越来越大。</w:t>
      </w:r>
    </w:p>
    <w:p>
      <w:pPr>
        <w:keepNext w:val="0"/>
        <w:keepLines w:val="0"/>
        <w:pageBreakBefore w:val="0"/>
        <w:kinsoku/>
        <w:wordWrap/>
        <w:overflowPunct/>
        <w:topLinePunct w:val="0"/>
        <w:autoSpaceDE/>
        <w:autoSpaceDN/>
        <w:bidi w:val="0"/>
        <w:adjustRightInd/>
        <w:snapToGrid/>
        <w:spacing w:line="576" w:lineRule="exact"/>
        <w:ind w:firstLine="640" w:firstLineChars="200"/>
        <w:jc w:val="both"/>
        <w:rPr>
          <w:rFonts w:hint="eastAsia" w:eastAsia="黑体"/>
          <w:color w:val="auto"/>
          <w:sz w:val="32"/>
          <w:szCs w:val="32"/>
        </w:rPr>
      </w:pPr>
      <w:r>
        <w:rPr>
          <w:rFonts w:hint="eastAsia" w:ascii="楷体" w:hAnsi="楷体" w:eastAsia="楷体" w:cs="楷体"/>
          <w:b/>
          <w:bCs/>
          <w:sz w:val="32"/>
          <w:szCs w:val="32"/>
          <w:lang w:eastAsia="zh-CN"/>
        </w:rPr>
        <w:t>（四）</w:t>
      </w:r>
      <w:r>
        <w:rPr>
          <w:rFonts w:eastAsia="黑体"/>
          <w:color w:val="auto"/>
          <w:sz w:val="32"/>
          <w:szCs w:val="32"/>
        </w:rPr>
        <w:t>下一步改进措施</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方正仿宋简体" w:hAnsi="华文仿宋" w:eastAsia="方正仿宋简体"/>
          <w:color w:val="auto"/>
          <w:sz w:val="32"/>
          <w:szCs w:val="32"/>
        </w:rPr>
      </w:pPr>
      <w:r>
        <w:rPr>
          <w:rFonts w:ascii="仿宋_GB2312" w:eastAsia="方正仿宋简体"/>
          <w:color w:val="auto"/>
          <w:sz w:val="32"/>
          <w:szCs w:val="32"/>
        </w:rPr>
        <w:t>1</w:t>
      </w:r>
      <w:r>
        <w:rPr>
          <w:rFonts w:hint="eastAsia" w:ascii="仿宋_GB2312" w:eastAsia="方正仿宋简体"/>
          <w:color w:val="auto"/>
          <w:sz w:val="32"/>
          <w:szCs w:val="32"/>
        </w:rPr>
        <w:t>、</w:t>
      </w:r>
      <w:r>
        <w:rPr>
          <w:rFonts w:hint="eastAsia" w:eastAsia="方正楷体简体" w:cs="Times New Roman"/>
          <w:bCs/>
          <w:color w:val="auto"/>
          <w:sz w:val="32"/>
          <w:szCs w:val="32"/>
        </w:rPr>
        <w:t>加大项目攻坚，助力乡村振兴。</w:t>
      </w:r>
      <w:r>
        <w:rPr>
          <w:rFonts w:hint="eastAsia" w:ascii="方正仿宋简体" w:hAnsi="仿宋_GB2312" w:eastAsia="方正仿宋简体" w:cs="仿宋_GB2312"/>
          <w:bCs/>
          <w:color w:val="auto"/>
          <w:sz w:val="32"/>
          <w:szCs w:val="32"/>
        </w:rPr>
        <w:t>以打造省级乡村振兴移民示范镇和全国移民集中安置示范区为目标，紧紧围绕沅江市委市政府提出“一镇两村多园”的乡村振兴发展格局，以此为战略发展契机，形成资金叠加效应，</w:t>
      </w:r>
      <w:r>
        <w:rPr>
          <w:rFonts w:hint="eastAsia" w:ascii="方正仿宋简体" w:hAnsi="方正仿宋简体" w:eastAsia="方正仿宋简体" w:cs="方正仿宋简体"/>
          <w:color w:val="auto"/>
          <w:kern w:val="0"/>
          <w:sz w:val="32"/>
          <w:szCs w:val="32"/>
          <w:shd w:val="clear" w:color="auto" w:fill="FFFFFF"/>
        </w:rPr>
        <w:t>积极主动向省市中心汇报工作进展，</w:t>
      </w:r>
      <w:r>
        <w:rPr>
          <w:rFonts w:hint="eastAsia" w:ascii="方正仿宋简体" w:hAnsi="仿宋_GB2312" w:eastAsia="方正仿宋简体" w:cs="仿宋_GB2312"/>
          <w:bCs/>
          <w:color w:val="auto"/>
          <w:sz w:val="32"/>
          <w:szCs w:val="32"/>
        </w:rPr>
        <w:t>进一步加大立项争资力度，力</w:t>
      </w:r>
      <w:r>
        <w:rPr>
          <w:rFonts w:hint="eastAsia" w:ascii="方正仿宋简体" w:hAnsi="华文仿宋" w:eastAsia="方正仿宋简体"/>
          <w:color w:val="auto"/>
          <w:sz w:val="32"/>
          <w:szCs w:val="32"/>
        </w:rPr>
        <w:t>争在移民安居乐业、美丽家园建设、特色产业发展、移民品牌创建、集体经济创收等工作上有新的突破，全域带动移民群众增收，提升移民群众幸福感、获得感，圆满出色完成移民政策落地开花结果的历史使命。</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0" w:leftChars="0" w:firstLine="729" w:firstLineChars="228"/>
        <w:jc w:val="both"/>
        <w:rPr>
          <w:rFonts w:ascii="方正仿宋简体" w:hAnsi="方正仿宋简体" w:eastAsia="方正仿宋简体" w:cs="方正仿宋简体"/>
          <w:color w:val="auto"/>
          <w:kern w:val="0"/>
          <w:sz w:val="32"/>
          <w:szCs w:val="32"/>
          <w:shd w:val="clear" w:color="auto" w:fill="FFFFFF"/>
        </w:rPr>
      </w:pPr>
      <w:r>
        <w:rPr>
          <w:rFonts w:ascii="仿宋_GB2312" w:eastAsia="方正仿宋简体"/>
          <w:color w:val="auto"/>
          <w:sz w:val="32"/>
          <w:szCs w:val="32"/>
        </w:rPr>
        <w:t>2</w:t>
      </w:r>
      <w:r>
        <w:rPr>
          <w:rFonts w:hint="eastAsia" w:ascii="仿宋_GB2312" w:eastAsia="方正仿宋简体"/>
          <w:color w:val="auto"/>
          <w:sz w:val="32"/>
          <w:szCs w:val="32"/>
        </w:rPr>
        <w:t>、</w:t>
      </w:r>
      <w:r>
        <w:rPr>
          <w:rFonts w:hint="eastAsia" w:eastAsia="方正楷体简体" w:cs="Times New Roman"/>
          <w:bCs/>
          <w:color w:val="auto"/>
          <w:sz w:val="32"/>
          <w:szCs w:val="32"/>
        </w:rPr>
        <w:t>推进重点移民村建设，建设移民特色小镇。</w:t>
      </w:r>
      <w:r>
        <w:rPr>
          <w:rFonts w:hint="eastAsia" w:ascii="方正仿宋简体" w:hAnsi="方正仿宋简体" w:eastAsia="方正仿宋简体" w:cs="方正仿宋简体"/>
          <w:color w:val="auto"/>
          <w:kern w:val="0"/>
          <w:sz w:val="32"/>
          <w:szCs w:val="32"/>
          <w:shd w:val="clear" w:color="auto" w:fill="FFFFFF"/>
        </w:rPr>
        <w:t>以省水利厅关于省重点移民村美丽家园建设指南的要求，</w:t>
      </w:r>
      <w:r>
        <w:rPr>
          <w:rFonts w:hint="eastAsia" w:ascii="方正仿宋简体" w:hAnsi="方正仿宋简体" w:eastAsia="方正仿宋简体" w:cs="方正仿宋简体"/>
          <w:bCs/>
          <w:color w:val="auto"/>
          <w:sz w:val="32"/>
          <w:szCs w:val="32"/>
        </w:rPr>
        <w:t>依托“三高四新”战略，利用独特的区位条件、移民特色等，着力特色产业、突出生态环保、推进乡风文明等方面下功夫，</w:t>
      </w:r>
      <w:r>
        <w:rPr>
          <w:rFonts w:hint="eastAsia" w:ascii="方正仿宋简体" w:hAnsi="方正仿宋简体" w:eastAsia="方正仿宋简体" w:cs="方正仿宋简体"/>
          <w:color w:val="auto"/>
          <w:kern w:val="0"/>
          <w:sz w:val="32"/>
          <w:szCs w:val="32"/>
          <w:shd w:val="clear" w:color="auto" w:fill="FFFFFF"/>
        </w:rPr>
        <w:t>实施重点移民村美丽家园建设，重点把四季红镇集中安置区打造成移民美丽家园示范区，</w:t>
      </w:r>
      <w:r>
        <w:rPr>
          <w:rFonts w:hint="eastAsia" w:ascii="方正仿宋简体" w:hAnsi="方正仿宋简体" w:eastAsia="方正仿宋简体" w:cs="方正仿宋简体"/>
          <w:bCs/>
          <w:color w:val="auto"/>
          <w:sz w:val="32"/>
          <w:szCs w:val="32"/>
        </w:rPr>
        <w:t>强力推进移民特色小镇建设，带动移民群众增收致富，</w:t>
      </w:r>
      <w:r>
        <w:rPr>
          <w:rFonts w:hint="eastAsia" w:ascii="方正仿宋简体" w:hAnsi="方正仿宋简体" w:eastAsia="方正仿宋简体" w:cs="方正仿宋简体"/>
          <w:color w:val="auto"/>
          <w:kern w:val="0"/>
          <w:sz w:val="32"/>
          <w:szCs w:val="32"/>
          <w:shd w:val="clear" w:color="auto" w:fill="FFFFFF"/>
        </w:rPr>
        <w:t>促进库区和移民安置区发展动力更足，增收渠道更宽，人居环境更美，社会更和谐。</w:t>
      </w:r>
      <w:r>
        <w:rPr>
          <w:rFonts w:ascii="方正仿宋简体" w:hAnsi="方正仿宋简体" w:eastAsia="方正仿宋简体" w:cs="方正仿宋简体"/>
          <w:color w:val="auto"/>
          <w:kern w:val="0"/>
          <w:sz w:val="32"/>
          <w:szCs w:val="32"/>
          <w:shd w:val="clear" w:color="auto" w:fill="FFFFFF"/>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0" w:leftChars="0" w:firstLine="729" w:firstLineChars="228"/>
        <w:jc w:val="both"/>
        <w:rPr>
          <w:rFonts w:ascii="方正仿宋简体" w:hAnsi="方正仿宋简体" w:eastAsia="方正仿宋简体" w:cs="方正仿宋简体"/>
          <w:color w:val="auto"/>
          <w:kern w:val="0"/>
          <w:sz w:val="32"/>
          <w:szCs w:val="32"/>
          <w:shd w:val="clear" w:color="auto" w:fill="FFFFFF"/>
        </w:rPr>
      </w:pPr>
      <w:r>
        <w:rPr>
          <w:rFonts w:ascii="仿宋_GB2312" w:eastAsia="方正仿宋简体"/>
          <w:color w:val="auto"/>
          <w:sz w:val="32"/>
          <w:szCs w:val="32"/>
        </w:rPr>
        <w:t>3</w:t>
      </w:r>
      <w:r>
        <w:rPr>
          <w:rFonts w:hint="eastAsia" w:ascii="仿宋_GB2312" w:eastAsia="方正仿宋简体"/>
          <w:color w:val="auto"/>
          <w:sz w:val="32"/>
          <w:szCs w:val="32"/>
        </w:rPr>
        <w:t>、</w:t>
      </w:r>
      <w:r>
        <w:rPr>
          <w:rFonts w:hint="eastAsia" w:eastAsia="方正楷体简体" w:cs="Times New Roman"/>
          <w:bCs/>
          <w:color w:val="auto"/>
          <w:sz w:val="32"/>
          <w:szCs w:val="32"/>
        </w:rPr>
        <w:t>壮大村集体经济，提高基层造血功能。</w:t>
      </w:r>
      <w:r>
        <w:rPr>
          <w:rFonts w:hint="eastAsia" w:ascii="方正仿宋简体" w:hAnsi="方正仿宋简体" w:eastAsia="方正仿宋简体" w:cs="方正仿宋简体"/>
          <w:color w:val="auto"/>
          <w:kern w:val="0"/>
          <w:sz w:val="32"/>
          <w:szCs w:val="32"/>
          <w:shd w:val="clear" w:color="auto" w:fill="FFFFFF"/>
        </w:rPr>
        <w:t>按照益阳市委和沅江市委提出的发展壮大村级集体经济三年行动计划，立足移民安置区和库区实际，继续完善好、运行好现有的村级集体产业，力争各村（社区）集体收入均达10万元以上，确保年增长率不低于6%，立志走在全市村级集体经济发展的前列。</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楷体_GB2312" w:hAnsi="楷体_GB2312" w:eastAsia="方正楷体简体" w:cs="楷体_GB2312"/>
          <w:b/>
          <w:bCs/>
          <w:color w:val="auto"/>
          <w:sz w:val="32"/>
          <w:szCs w:val="32"/>
        </w:rPr>
      </w:pPr>
      <w:r>
        <w:rPr>
          <w:rFonts w:hint="eastAsia" w:ascii="仿宋_GB2312" w:eastAsia="方正仿宋简体"/>
          <w:color w:val="auto"/>
          <w:sz w:val="32"/>
          <w:szCs w:val="32"/>
          <w:lang w:val="en-US" w:eastAsia="zh-CN"/>
        </w:rPr>
        <w:t>4</w:t>
      </w:r>
      <w:r>
        <w:rPr>
          <w:rFonts w:hint="eastAsia" w:ascii="仿宋_GB2312" w:eastAsia="方正仿宋简体"/>
          <w:color w:val="auto"/>
          <w:sz w:val="32"/>
          <w:szCs w:val="32"/>
        </w:rPr>
        <w:t>、</w:t>
      </w:r>
      <w:r>
        <w:rPr>
          <w:rFonts w:hint="eastAsia" w:eastAsia="方正楷体简体" w:cs="Times New Roman"/>
          <w:bCs/>
          <w:color w:val="auto"/>
          <w:sz w:val="32"/>
          <w:szCs w:val="32"/>
        </w:rPr>
        <w:t>促进产业发展，做强移民经济。</w:t>
      </w:r>
      <w:r>
        <w:rPr>
          <w:rFonts w:hint="eastAsia" w:ascii="华文仿宋" w:hAnsi="华文仿宋" w:eastAsia="方正仿宋简体" w:cs="方正仿宋简体"/>
          <w:color w:val="auto"/>
          <w:sz w:val="32"/>
          <w:szCs w:val="32"/>
        </w:rPr>
        <w:t>整合发展腐乳产业，培育龙头企业全力打造四季红镇移民特色产业园，利用腐乳产业园区平台对腐乳加工企业生产进行规范，狠抓腐乳生产质量，着力打造四季红腐乳新品牌；做精做优稻虾产业，推广生态、绿色养殖，延伸小龙虾加工产业链，开展小龙虾产品深加工，进一步挖掘和提升小龙虾附加值；大力推广</w:t>
      </w:r>
      <w:r>
        <w:rPr>
          <w:rFonts w:hint="eastAsia" w:ascii="华文仿宋" w:hAnsi="华文仿宋" w:eastAsia="方正仿宋简体"/>
          <w:color w:val="auto"/>
          <w:sz w:val="32"/>
          <w:szCs w:val="32"/>
        </w:rPr>
        <w:t>蔺</w:t>
      </w:r>
      <w:r>
        <w:rPr>
          <w:rFonts w:hint="eastAsia" w:ascii="华文仿宋" w:hAnsi="华文仿宋" w:eastAsia="方正仿宋简体" w:cs="方正仿宋简体"/>
          <w:color w:val="auto"/>
          <w:sz w:val="32"/>
          <w:szCs w:val="32"/>
        </w:rPr>
        <w:t>草种植和加工，切实增加移民收入。</w:t>
      </w:r>
    </w:p>
    <w:p>
      <w:pPr>
        <w:pStyle w:val="13"/>
        <w:ind w:firstLine="640" w:firstLineChars="200"/>
        <w:jc w:val="both"/>
        <w:rPr>
          <w:sz w:val="72"/>
          <w:szCs w:val="72"/>
        </w:rPr>
      </w:pPr>
      <w:r>
        <w:rPr>
          <w:rFonts w:hint="eastAsia" w:ascii="仿宋_GB2312" w:eastAsia="方正仿宋简体"/>
          <w:color w:val="auto"/>
          <w:sz w:val="32"/>
          <w:szCs w:val="32"/>
          <w:lang w:val="en-US" w:eastAsia="zh-CN"/>
        </w:rPr>
        <w:t>5</w:t>
      </w:r>
      <w:r>
        <w:rPr>
          <w:rFonts w:hint="eastAsia" w:ascii="仿宋_GB2312" w:eastAsia="方正仿宋简体"/>
          <w:color w:val="auto"/>
          <w:sz w:val="32"/>
          <w:szCs w:val="32"/>
        </w:rPr>
        <w:t>、</w:t>
      </w:r>
      <w:r>
        <w:rPr>
          <w:rFonts w:hint="eastAsia" w:eastAsia="方正楷体简体" w:cs="Times New Roman"/>
          <w:bCs/>
          <w:color w:val="auto"/>
          <w:sz w:val="32"/>
          <w:szCs w:val="32"/>
        </w:rPr>
        <w:t>创建平安移民新村，保持大局稳定。</w:t>
      </w:r>
      <w:r>
        <w:rPr>
          <w:rFonts w:hint="eastAsia" w:ascii="方正仿宋简体" w:hAnsi="方正仿宋简体" w:eastAsia="方正仿宋简体" w:cs="方正仿宋简体"/>
          <w:color w:val="auto"/>
          <w:kern w:val="0"/>
          <w:sz w:val="32"/>
          <w:szCs w:val="32"/>
          <w:shd w:val="clear" w:color="auto" w:fill="FFFFFF"/>
        </w:rPr>
        <w:t>牢固树立“稳定是第一责任，发展是第一要务，安全是第一保障”的思想，</w:t>
      </w:r>
      <w:r>
        <w:rPr>
          <w:rFonts w:hint="eastAsia" w:ascii="仿宋" w:hAnsi="仿宋" w:eastAsia="仿宋"/>
          <w:color w:val="auto"/>
          <w:sz w:val="32"/>
          <w:szCs w:val="32"/>
        </w:rPr>
        <w:t>继续加强信访维稳工作力度，做好库区移民遗留问题协调处理工作，确保库区移民稳定发展。</w:t>
      </w:r>
      <w:r>
        <w:rPr>
          <w:rFonts w:ascii="仿宋" w:hAnsi="仿宋" w:eastAsia="仿宋"/>
          <w:color w:val="auto"/>
          <w:sz w:val="32"/>
          <w:szCs w:val="32"/>
        </w:rPr>
        <w:t>以创新机制为抓手，开展创建“平安移民</w:t>
      </w:r>
      <w:r>
        <w:rPr>
          <w:rFonts w:hint="eastAsia" w:ascii="仿宋" w:hAnsi="仿宋" w:eastAsia="仿宋"/>
          <w:color w:val="auto"/>
          <w:sz w:val="32"/>
          <w:szCs w:val="32"/>
        </w:rPr>
        <w:t>村</w:t>
      </w:r>
      <w:r>
        <w:rPr>
          <w:rFonts w:ascii="仿宋" w:hAnsi="仿宋" w:eastAsia="仿宋"/>
          <w:color w:val="auto"/>
          <w:sz w:val="32"/>
          <w:szCs w:val="32"/>
        </w:rPr>
        <w:t>”活动，动态推进移民信访稳定工作。</w:t>
      </w:r>
    </w:p>
    <w:p>
      <w:pPr>
        <w:pStyle w:val="13"/>
        <w:jc w:val="both"/>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eastAsia="仿宋_GB2312"/>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r>
        <w:rPr>
          <w:rFonts w:hint="eastAsia" w:ascii="华文仿宋" w:hAnsi="华文仿宋" w:eastAsia="方正仿宋简体" w:cs="方正仿宋简体"/>
          <w:color w:val="auto"/>
          <w:sz w:val="32"/>
          <w:szCs w:val="32"/>
        </w:rPr>
        <w:t>财政拨款收入：指本级财政当年拨付的资金。</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事业收入：指事业单位开展专业业务活动及辅助活动所取得的收入。</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上年结转和结余：指以前年度尚未完成、结转到本年按有关规定继续使用的资金。</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年末结转和结余资金：指本年度或以前年度预算安排、因客观条件发生变化无法按原计划实施，需要延迟到以后年度按有关规定继续使用的资金。</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一般公共服务支出（类）：是指用于人大、政协、政府办公厅（室）及相关机构事务、发展与改革事务、统计信息事务、财政事务、税收事务、审计事务、人力资源事务、纪检监察事务、商贸事务、工商行政管理事务、质量技术监督与检验检疫事务、民族事务、档案事务、民主党派及工商公共服务方面的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社会保障和就业支出（类）：是指用于社会保障和就业方面的支出，包括保障机构正常运转、完成日常和特定的工作任务或事业发展目标的支出。归口管理的行政单位离退休，指离退休人员管理机构统一管理的机关离退休人员的经费。</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农林水支出（类）：是指用于农林水事务支出，包括保障机构正常运转、完成日常和特定的工作任务或事业发展目标的支出。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住房保障支出（类）：是指用于住房方面的支出，包括保障机构正常运转、完成日常和特定的工作任务或事业发展目标的支出。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基本支出：指保障机构正常运转、完成支日常工作任务而发生的人员支出和公用支出。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项目支出：指在基本支出之外为完成特定行政任务和事业发展目标所发生的支出。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lang w:eastAsia="zh-CN"/>
        </w:rPr>
      </w:pPr>
      <w:r>
        <w:rPr>
          <w:rFonts w:hint="eastAsia" w:ascii="华文仿宋" w:hAnsi="华文仿宋" w:eastAsia="方正仿宋简体" w:cs="方正仿宋简体"/>
          <w:color w:val="auto"/>
          <w:sz w:val="32"/>
          <w:szCs w:val="32"/>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w:t>
      </w:r>
      <w:r>
        <w:rPr>
          <w:rFonts w:hint="eastAsia" w:ascii="华文仿宋" w:hAnsi="华文仿宋" w:eastAsia="方正仿宋简体" w:cs="方正仿宋简体"/>
          <w:color w:val="auto"/>
          <w:sz w:val="32"/>
          <w:szCs w:val="32"/>
          <w:lang w:eastAsia="zh-CN"/>
        </w:rPr>
        <w:t>。</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工资福利支出：反映单位开支的在职职工和编制外长期聘用人员的各类劳动报酬，以及为上述人员缴纳的各项社会保险费等。</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津贴补贴：反映经国家批准建立的机关事业单位艰苦边远地区津贴、机关工作人员地区附加津贴、机关工作人员岗位津贴、事业单位工作人员特殊岗位津贴补贴等。</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绩效工资：反映事业单位工作人员的绩效工资。</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机关事业单位基本养老保险缴费：反映机关事业单位缴纳的基本养老保险费。由单位代扣的工作人员基本养老保险缴费，不在此科目反映。</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职工基本医疗保险缴费：反映单位为职工缴纳的基本医疗保险费。</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其他社会保障缴费：反映单位为职工缴纳的基本医疗、失业、工伤、生育等社会保险费，残疾人就业保障金，军队（含武警）为军人缴纳的伤亡、退役医疗等社会保险费。</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住房公积金：反映行政事业单位按人力资源和社会保障部、财政部规定的基本工资和津贴补贴以及规定比例为职工缴纳的住房公积金。</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商品和服务支出：反映单位购买商品和服务的支出（不包括用于购置固定资产的支出、战略性和应急储备支出）。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办公费：反映单位购买按财务会计制度规定不符合固定资产确认标准的日常办公用品、书报杂志等支出。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水费：反映单位支付的水费、污水处理费等支出。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电费：反映单位的电费支出。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邮电费：反映单位开支的信函、包裹、货物等物品的邮寄费及电话费、电报费、传真费、网络通讯费等。</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差旅费：反映单位工作人员出差发生的城市间交通费、住宿费、伙食补贴费和市内交通费。</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维修(护)费：反映单位日常开支的固定资产（不包括车船等交通工具）修理和维护费用，网络信息系统运行与维护费用，以及按规定提取的修购基金。</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公务接待费：反映单位按规定开支的各类公务接待（含外宾接待）费用。</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工会经费：反映单位按规定提取的工会经费。</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其他交通费用：反映单位除公务用车运行维护费以外的其他交通费用。如公务交通补贴，租车费用、出租车费用，飞机、船舶等的燃料费、维修费、保险费等。</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对个人和家庭的补助：反映政府用于对个人和家庭的补助支出。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退休费：反映行政事业单位和军队移交政府安置的退休人员的退休费和其他补贴。</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生活补助：反映按规定开支的优抚对象定期定量生活补助费，退役军人生活补助费，行政事业单位职工和遗属生活补助，因公负伤等住院治疗、住疗养院期间的伙食补助费，长期赡养人员补助费，由于国家实行退耕还林禁牧舍饲政策补偿给农牧民的现金、粮食支出，对农村党员、复员军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奖励金：反映政府各部门的奖励支出，如对个体私营经济的奖励、计划生育目标责任奖励、独生子女父母奖励等。</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华文仿宋" w:hAnsi="华文仿宋" w:eastAsia="方正仿宋简体" w:cs="方正仿宋简体"/>
          <w:color w:val="auto"/>
          <w:sz w:val="32"/>
          <w:szCs w:val="32"/>
        </w:rPr>
      </w:pPr>
      <w:r>
        <w:rPr>
          <w:rFonts w:hint="eastAsia" w:ascii="华文仿宋" w:hAnsi="华文仿宋" w:eastAsia="方正仿宋简体" w:cs="方正仿宋简体"/>
          <w:color w:val="auto"/>
          <w:sz w:val="32"/>
          <w:szCs w:val="32"/>
        </w:rPr>
        <w:t>其他资本性支出：反映发展与改革部门以外的其他部门安排的用于购置固定资产、战略性和应急性储备、土地和无形资产，以及购建基础设施、大型修缮和财政支持企业更新改造所发生的支出。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eastAsia="仿宋_GB2312"/>
          <w:sz w:val="32"/>
          <w:szCs w:val="32"/>
        </w:rPr>
      </w:pPr>
      <w:r>
        <w:rPr>
          <w:rFonts w:hint="eastAsia" w:ascii="华文仿宋" w:hAnsi="华文仿宋" w:eastAsia="方正仿宋简体" w:cs="方正仿宋简体"/>
          <w:color w:val="auto"/>
          <w:sz w:val="32"/>
          <w:szCs w:val="32"/>
        </w:rPr>
        <w:t>办公设备购置：反映用于购置并按财务会计制度规定纳入固定资产核算范围的办公家具和办公设备的支出，以及按规定提取的修购基金。</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eastAsia="仿宋_GB2312"/>
          <w:sz w:val="32"/>
          <w:szCs w:val="32"/>
        </w:rPr>
      </w:pPr>
      <w:r>
        <w:rPr>
          <w:rFonts w:hint="eastAsia" w:eastAsia="仿宋_GB2312"/>
          <w:sz w:val="32"/>
          <w:szCs w:val="32"/>
        </w:rPr>
        <w:t>一般公共预算</w:t>
      </w:r>
      <w:r>
        <w:rPr>
          <w:rFonts w:hint="eastAsia" w:eastAsia="仿宋_GB2312"/>
          <w:sz w:val="32"/>
          <w:szCs w:val="32"/>
          <w:lang w:eastAsia="zh-CN"/>
        </w:rPr>
        <w:t>：</w:t>
      </w:r>
      <w:r>
        <w:rPr>
          <w:rFonts w:hint="eastAsia" w:eastAsia="仿宋_GB2312"/>
          <w:sz w:val="32"/>
          <w:szCs w:val="32"/>
        </w:rPr>
        <w:t>原公共财政预算</w:t>
      </w:r>
      <w:r>
        <w:rPr>
          <w:rFonts w:hint="eastAsia" w:eastAsia="仿宋_GB2312"/>
          <w:sz w:val="32"/>
          <w:szCs w:val="32"/>
          <w:lang w:eastAsia="zh-CN"/>
        </w:rPr>
        <w:t>，</w:t>
      </w:r>
      <w:r>
        <w:rPr>
          <w:rFonts w:hint="eastAsia" w:eastAsia="仿宋_GB2312"/>
          <w:sz w:val="32"/>
          <w:szCs w:val="32"/>
        </w:rPr>
        <w:t>按照新《预算法》要求,更名为一般公共预算。是指政府凭借国家政治权力</w:t>
      </w:r>
      <w:r>
        <w:rPr>
          <w:rFonts w:hint="eastAsia" w:eastAsia="仿宋_GB2312"/>
          <w:sz w:val="32"/>
          <w:szCs w:val="32"/>
          <w:lang w:eastAsia="zh-CN"/>
        </w:rPr>
        <w:t>，</w:t>
      </w:r>
      <w:r>
        <w:rPr>
          <w:rFonts w:hint="eastAsia" w:eastAsia="仿宋_GB2312"/>
          <w:sz w:val="32"/>
          <w:szCs w:val="32"/>
        </w:rPr>
        <w:t>以社会管理者身份筹集以税收为主体的财政收入</w:t>
      </w:r>
      <w:r>
        <w:rPr>
          <w:rFonts w:hint="eastAsia" w:eastAsia="仿宋_GB2312"/>
          <w:sz w:val="32"/>
          <w:szCs w:val="32"/>
          <w:lang w:eastAsia="zh-CN"/>
        </w:rPr>
        <w:t>，</w:t>
      </w:r>
      <w:r>
        <w:rPr>
          <w:rFonts w:hint="eastAsia" w:eastAsia="仿宋_GB2312"/>
          <w:sz w:val="32"/>
          <w:szCs w:val="32"/>
        </w:rPr>
        <w:t>用于保障和改善民生、维持国家行政职能正常行使、保障国家安全等方面的收支预算。一般公共预算收入预算包括:地方本级预算收入、转移性收入、调入预算稳定调节基金、地方政府债券收入和上年结余收入。一般公共预算支出预算编制内容包括地方本级预算支出、转移性支出、地方政府债券还本支出、安排预算稳定调节基金、增设预算周转金和年末累计结余。</w:t>
      </w: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ascii="方正小标宋_GBK" w:hAnsi="方正小标宋_GBK" w:eastAsia="方正小标宋_GBK" w:cs="方正小标宋_GBK"/>
          <w:sz w:val="70"/>
          <w:szCs w:val="70"/>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pPr>
        <w:pStyle w:val="13"/>
        <w:jc w:val="center"/>
        <w:rPr>
          <w:rFonts w:hint="eastAsia" w:ascii="方正小标宋_GBK" w:hAnsi="方正小标宋_GBK" w:eastAsia="方正小标宋_GBK" w:cs="方正小标宋_GBK"/>
          <w:sz w:val="70"/>
          <w:szCs w:val="70"/>
          <w:lang w:eastAsia="zh-CN"/>
        </w:rPr>
      </w:pPr>
    </w:p>
    <w:p>
      <w:pPr>
        <w:pStyle w:val="13"/>
        <w:jc w:val="center"/>
        <w:rPr>
          <w:rFonts w:hint="eastAsia" w:ascii="方正小标宋_GBK" w:hAnsi="方正小标宋_GBK" w:eastAsia="方正小标宋_GBK" w:cs="方正小标宋_GBK"/>
          <w:sz w:val="70"/>
          <w:szCs w:val="70"/>
          <w:lang w:eastAsia="zh-CN"/>
        </w:rPr>
      </w:pPr>
    </w:p>
    <w:p>
      <w:pPr>
        <w:pStyle w:val="13"/>
        <w:jc w:val="center"/>
        <w:rPr>
          <w:rFonts w:hint="eastAsia" w:ascii="方正小标宋_GBK" w:hAnsi="方正小标宋_GBK" w:eastAsia="方正小标宋_GBK" w:cs="方正小标宋_GBK"/>
          <w:sz w:val="70"/>
          <w:szCs w:val="70"/>
          <w:lang w:eastAsia="zh-CN"/>
        </w:rPr>
      </w:pPr>
    </w:p>
    <w:p>
      <w:pPr>
        <w:pStyle w:val="19"/>
        <w:ind w:left="0" w:leftChars="0" w:firstLine="0" w:firstLineChars="0"/>
        <w:rPr>
          <w:rFonts w:hint="eastAsia" w:ascii="宋体" w:hAnsi="宋体" w:eastAsia="方正仿宋简体" w:cs="宋体"/>
          <w:b/>
          <w:color w:val="auto"/>
          <w:kern w:val="0"/>
          <w:sz w:val="36"/>
          <w:szCs w:val="36"/>
        </w:rPr>
      </w:pPr>
    </w:p>
    <w:p>
      <w:pPr>
        <w:pStyle w:val="19"/>
        <w:rPr>
          <w:rFonts w:hint="eastAsia" w:ascii="宋体" w:hAnsi="宋体" w:eastAsia="方正仿宋简体" w:cs="宋体"/>
          <w:b/>
          <w:color w:val="auto"/>
          <w:kern w:val="0"/>
          <w:sz w:val="36"/>
          <w:szCs w:val="36"/>
        </w:rPr>
      </w:pPr>
    </w:p>
    <w:p>
      <w:pPr>
        <w:ind w:left="0" w:leftChars="0" w:firstLine="0" w:firstLineChars="0"/>
        <w:jc w:val="center"/>
        <w:rPr>
          <w:rFonts w:hint="eastAsia" w:ascii="华文细黑" w:hAnsi="华文细黑" w:eastAsia="华文细黑" w:cs="华文细黑"/>
          <w:b w:val="0"/>
          <w:bCs/>
          <w:color w:val="auto"/>
          <w:kern w:val="0"/>
          <w:sz w:val="44"/>
          <w:szCs w:val="44"/>
        </w:rPr>
      </w:pPr>
    </w:p>
    <w:p>
      <w:pPr>
        <w:pStyle w:val="2"/>
        <w:rPr>
          <w:rFonts w:hint="eastAsia"/>
        </w:rPr>
      </w:pPr>
    </w:p>
    <w:p>
      <w:pPr>
        <w:ind w:left="0" w:leftChars="0" w:firstLine="0" w:firstLineChars="0"/>
        <w:jc w:val="center"/>
        <w:rPr>
          <w:rFonts w:hint="eastAsia" w:ascii="华文细黑" w:hAnsi="华文细黑" w:eastAsia="华文细黑" w:cs="华文细黑"/>
          <w:b w:val="0"/>
          <w:bCs/>
          <w:color w:val="auto"/>
          <w:kern w:val="0"/>
          <w:sz w:val="44"/>
          <w:szCs w:val="44"/>
        </w:rPr>
      </w:pPr>
      <w:r>
        <w:rPr>
          <w:rFonts w:hint="eastAsia" w:ascii="华文细黑" w:hAnsi="华文细黑" w:eastAsia="华文细黑" w:cs="华文细黑"/>
          <w:b w:val="0"/>
          <w:bCs/>
          <w:color w:val="auto"/>
          <w:kern w:val="0"/>
          <w:sz w:val="44"/>
          <w:szCs w:val="44"/>
        </w:rPr>
        <w:t>202</w:t>
      </w:r>
      <w:r>
        <w:rPr>
          <w:rFonts w:hint="eastAsia" w:ascii="华文细黑" w:hAnsi="华文细黑" w:eastAsia="华文细黑" w:cs="华文细黑"/>
          <w:b w:val="0"/>
          <w:bCs/>
          <w:color w:val="auto"/>
          <w:kern w:val="0"/>
          <w:sz w:val="44"/>
          <w:szCs w:val="44"/>
          <w:lang w:val="en-US" w:eastAsia="zh-CN"/>
        </w:rPr>
        <w:t>3</w:t>
      </w:r>
      <w:r>
        <w:rPr>
          <w:rFonts w:hint="eastAsia" w:ascii="华文细黑" w:hAnsi="华文细黑" w:eastAsia="华文细黑" w:cs="华文细黑"/>
          <w:b w:val="0"/>
          <w:bCs/>
          <w:color w:val="auto"/>
          <w:kern w:val="0"/>
          <w:sz w:val="44"/>
          <w:szCs w:val="44"/>
        </w:rPr>
        <w:t>年度沅江市</w:t>
      </w:r>
      <w:r>
        <w:rPr>
          <w:rFonts w:hint="eastAsia" w:ascii="华文细黑" w:hAnsi="华文细黑" w:eastAsia="华文细黑" w:cs="华文细黑"/>
          <w:b w:val="0"/>
          <w:bCs/>
          <w:color w:val="auto"/>
          <w:kern w:val="0"/>
          <w:sz w:val="44"/>
          <w:szCs w:val="44"/>
          <w:lang w:val="en-US" w:eastAsia="zh-CN"/>
        </w:rPr>
        <w:t>库区移民</w:t>
      </w:r>
      <w:r>
        <w:rPr>
          <w:rFonts w:hint="eastAsia" w:ascii="华文细黑" w:hAnsi="华文细黑" w:eastAsia="华文细黑" w:cs="华文细黑"/>
          <w:b w:val="0"/>
          <w:bCs/>
          <w:color w:val="auto"/>
          <w:kern w:val="0"/>
          <w:sz w:val="44"/>
          <w:szCs w:val="44"/>
        </w:rPr>
        <w:t>事务中心</w:t>
      </w:r>
    </w:p>
    <w:p>
      <w:pPr>
        <w:ind w:left="0" w:leftChars="0" w:firstLine="0" w:firstLineChars="0"/>
        <w:jc w:val="center"/>
        <w:rPr>
          <w:rFonts w:hint="eastAsia" w:ascii="华文细黑" w:hAnsi="华文细黑" w:eastAsia="华文细黑" w:cs="华文细黑"/>
          <w:color w:val="auto"/>
          <w:lang w:val="en-US" w:eastAsia="zh-CN"/>
        </w:rPr>
      </w:pPr>
      <w:r>
        <w:rPr>
          <w:rFonts w:hint="eastAsia" w:ascii="华文细黑" w:hAnsi="华文细黑" w:eastAsia="华文细黑" w:cs="华文细黑"/>
          <w:b w:val="0"/>
          <w:bCs/>
          <w:color w:val="auto"/>
          <w:kern w:val="0"/>
          <w:sz w:val="44"/>
          <w:szCs w:val="44"/>
        </w:rPr>
        <w:t>整体支</w:t>
      </w:r>
      <w:r>
        <w:rPr>
          <w:rFonts w:hint="eastAsia" w:ascii="华文细黑" w:hAnsi="华文细黑" w:eastAsia="华文细黑" w:cs="华文细黑"/>
          <w:b w:val="0"/>
          <w:bCs/>
          <w:color w:val="auto"/>
          <w:kern w:val="0"/>
          <w:sz w:val="44"/>
          <w:szCs w:val="44"/>
          <w:lang w:val="en-US" w:eastAsia="zh-CN"/>
        </w:rPr>
        <w:t>出</w:t>
      </w:r>
      <w:r>
        <w:rPr>
          <w:rFonts w:hint="eastAsia" w:ascii="华文细黑" w:hAnsi="华文细黑" w:eastAsia="华文细黑" w:cs="华文细黑"/>
          <w:b w:val="0"/>
          <w:bCs/>
          <w:color w:val="auto"/>
          <w:kern w:val="0"/>
          <w:sz w:val="44"/>
          <w:szCs w:val="44"/>
        </w:rPr>
        <w:t>绩效评价报告</w:t>
      </w:r>
    </w:p>
    <w:p>
      <w:pPr>
        <w:keepNext w:val="0"/>
        <w:keepLines w:val="0"/>
        <w:pageBreakBefore w:val="0"/>
        <w:numPr>
          <w:ilvl w:val="0"/>
          <w:numId w:val="2"/>
        </w:numPr>
        <w:kinsoku/>
        <w:wordWrap/>
        <w:overflowPunct/>
        <w:topLinePunct w:val="0"/>
        <w:autoSpaceDE/>
        <w:autoSpaceDN/>
        <w:bidi w:val="0"/>
        <w:adjustRightInd/>
        <w:snapToGrid/>
        <w:spacing w:line="576" w:lineRule="exact"/>
        <w:ind w:left="0" w:leftChars="0" w:firstLine="729" w:firstLineChars="228"/>
        <w:jc w:val="both"/>
        <w:rPr>
          <w:rFonts w:ascii="Calibri" w:hAnsi="Calibri" w:eastAsia="黑体" w:cs="Times New Roman"/>
          <w:color w:val="auto"/>
          <w:sz w:val="32"/>
          <w:szCs w:val="32"/>
        </w:rPr>
      </w:pPr>
      <w:r>
        <w:rPr>
          <w:rFonts w:hint="eastAsia" w:ascii="Calibri" w:hAnsi="Calibri" w:eastAsia="黑体" w:cs="Times New Roman"/>
          <w:color w:val="auto"/>
          <w:sz w:val="32"/>
          <w:szCs w:val="32"/>
        </w:rPr>
        <w:t>部门</w:t>
      </w:r>
      <w:r>
        <w:rPr>
          <w:rFonts w:ascii="Calibri" w:hAnsi="Calibri" w:eastAsia="黑体" w:cs="Times New Roman"/>
          <w:color w:val="auto"/>
          <w:sz w:val="32"/>
          <w:szCs w:val="32"/>
        </w:rPr>
        <w:t>基本情况</w:t>
      </w:r>
    </w:p>
    <w:p>
      <w:pPr>
        <w:keepNext w:val="0"/>
        <w:keepLines w:val="0"/>
        <w:pageBreakBefore w:val="0"/>
        <w:widowControl/>
        <w:kinsoku/>
        <w:wordWrap/>
        <w:overflowPunct/>
        <w:topLinePunct w:val="0"/>
        <w:autoSpaceDE/>
        <w:autoSpaceDN/>
        <w:bidi w:val="0"/>
        <w:adjustRightInd/>
        <w:snapToGrid/>
        <w:spacing w:line="576" w:lineRule="exact"/>
        <w:ind w:left="0" w:leftChars="0" w:firstLine="729" w:firstLineChars="228"/>
        <w:jc w:val="both"/>
        <w:rPr>
          <w:rFonts w:hint="eastAsia" w:ascii="Calibri" w:hAnsi="Calibri" w:eastAsia="方正楷体简体" w:cs="Times New Roman"/>
          <w:b/>
          <w:color w:val="auto"/>
          <w:sz w:val="32"/>
          <w:szCs w:val="32"/>
        </w:rPr>
      </w:pPr>
      <w:r>
        <w:rPr>
          <w:rFonts w:hint="eastAsia" w:ascii="Calibri" w:hAnsi="Calibri" w:eastAsia="方正楷体简体" w:cs="Times New Roman"/>
          <w:bCs/>
          <w:color w:val="auto"/>
          <w:sz w:val="32"/>
          <w:szCs w:val="32"/>
        </w:rPr>
        <w:t>（一）职能职责</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（1）贯彻执行党和国家有关大中型水库移民工作的方针、政策、法律、法规；</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（2）履行全市大中型水库移民工作的管理、协调、监督、检查、指导职能；提出解决水库移民工作问题的意见及建议；</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（3）负责全市大中型水库移民遗留问题的处理和大中型水库移民后期扶持工作；</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（4）负责全市水库库区、移民安置区的基础设施和生产开发项目规划的编报及组织实施工作；</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（5）负责全市大中型水库移民资金的管理工作；</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（6）负责处理与移民有关的来信来访问题；</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（7）负责全市移民干部业务培训和移民实用技术与技能培训工作；</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（8）承办市人民政府及上级主管部门交办的其他事项。</w:t>
      </w:r>
    </w:p>
    <w:p>
      <w:pPr>
        <w:keepNext w:val="0"/>
        <w:keepLines w:val="0"/>
        <w:pageBreakBefore w:val="0"/>
        <w:widowControl/>
        <w:kinsoku/>
        <w:wordWrap/>
        <w:overflowPunct/>
        <w:topLinePunct w:val="0"/>
        <w:autoSpaceDE/>
        <w:autoSpaceDN/>
        <w:bidi w:val="0"/>
        <w:adjustRightInd/>
        <w:snapToGrid/>
        <w:spacing w:line="576" w:lineRule="exact"/>
        <w:ind w:left="0" w:leftChars="0" w:firstLine="729" w:firstLineChars="228"/>
        <w:jc w:val="both"/>
        <w:rPr>
          <w:rFonts w:hint="eastAsia" w:ascii="Calibri" w:hAnsi="Calibri" w:eastAsia="方正楷体简体" w:cs="Times New Roman"/>
          <w:bCs/>
          <w:color w:val="auto"/>
          <w:sz w:val="32"/>
          <w:szCs w:val="32"/>
        </w:rPr>
      </w:pPr>
      <w:r>
        <w:rPr>
          <w:rFonts w:hint="eastAsia" w:ascii="Calibri" w:hAnsi="Calibri" w:eastAsia="方正楷体简体" w:cs="Times New Roman"/>
          <w:bCs/>
          <w:color w:val="auto"/>
          <w:sz w:val="32"/>
          <w:szCs w:val="32"/>
        </w:rPr>
        <w:t>（二）部门整体支出规模、使用方向、主要内容和涉及范围</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根据编委核定，我中心内设股室 3 个，所属事业单位 1 个，本年增设下属机构一个。全部纳入2023年部门预算编制范围。内设股室分别是办公室、工程股、财务股。</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办公室的工作职责为协助领导处理机关日常工作，负责机关文电、会务、保密、档案、文明创建、创卫、机关事务综合协调等工作。负责机关移民工作情况综合、调研、对外宣传、政务督办、建议提案办理，总结推广移民工作典型经验。负责机关行政后勤、固定资产管理、安全保卫等工作。负责机关组织人事、干部教育培训、老干、计划生育等工作。负责机关党的建设、政治学习、机关考勤工作。负责移民信访、移民政策法规宣传、依法治国、依法行政工作。负责机关党风廉政建设和机关作风建设工作。负责机关权力运行、政务、党务公开工负责机关绩效考核工作。</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财务股的工作职责为负责机关财务工作。负责指导全市移民系统财务会计工作，并会同有关部门拟定全市移民资金管理、监督办法并组织实施。负责全市移民资金监督和管理。负责移民后期扶持政策实施稽察工作，负责机关统计和招商引资、立项争资工作。负责“互联网+监督”相关工作。负责移民资金绩效评价工作。</w:t>
      </w:r>
    </w:p>
    <w:p>
      <w:pPr>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6" w:lineRule="exact"/>
        <w:ind w:left="0" w:leftChars="0" w:right="0" w:firstLine="729" w:firstLineChars="228"/>
        <w:jc w:val="both"/>
        <w:rPr>
          <w:rFonts w:hint="eastAsia" w:ascii="仿宋_GB2312" w:hAnsi="Calibri" w:eastAsia="方正仿宋简体" w:cs="Times New Roman"/>
          <w:color w:val="auto"/>
          <w:kern w:val="0"/>
          <w:sz w:val="32"/>
          <w:szCs w:val="32"/>
          <w:lang w:val="en-US" w:eastAsia="zh-CN" w:bidi="ar"/>
        </w:rPr>
      </w:pPr>
      <w:r>
        <w:rPr>
          <w:rFonts w:hint="eastAsia" w:ascii="仿宋_GB2312" w:hAnsi="Calibri" w:eastAsia="方正仿宋简体" w:cs="Times New Roman"/>
          <w:color w:val="auto"/>
          <w:kern w:val="0"/>
          <w:sz w:val="32"/>
          <w:szCs w:val="32"/>
          <w:lang w:val="en-US" w:eastAsia="zh-CN" w:bidi="ar"/>
        </w:rPr>
        <w:t>工程股的工作职责为负责库区和移民安置区基础设施建设及经济发展中长期规划、水库移民后期扶持规划和年度计划编制工作。负责组织移民工程项目的规划、论证、设计及方案的审查、审批、上报工作。负责全市移民干部业务培训和移民实用技术与技能培训工作；承办市人民政府及上级主管部门交办的其他事情。</w:t>
      </w:r>
    </w:p>
    <w:p>
      <w:pPr>
        <w:pStyle w:val="1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left="0" w:leftChars="0" w:firstLine="729" w:firstLineChars="228"/>
        <w:jc w:val="both"/>
        <w:rPr>
          <w:rFonts w:ascii="Times New Roman" w:hAnsi="Times New Roman" w:eastAsia="黑体" w:cs="Times New Roman"/>
          <w:color w:val="auto"/>
          <w:kern w:val="2"/>
          <w:sz w:val="32"/>
          <w:szCs w:val="32"/>
          <w:lang w:val="en-US" w:eastAsia="zh-CN" w:bidi="ar-SA"/>
        </w:rPr>
      </w:pPr>
      <w:r>
        <w:rPr>
          <w:rFonts w:ascii="Times New Roman" w:hAnsi="Times New Roman" w:eastAsia="黑体" w:cs="Times New Roman"/>
          <w:color w:val="auto"/>
          <w:kern w:val="2"/>
          <w:sz w:val="32"/>
          <w:szCs w:val="32"/>
          <w:lang w:val="en-US" w:eastAsia="zh-CN" w:bidi="ar-SA"/>
        </w:rPr>
        <w:t>二、一般公共预算支出情况</w:t>
      </w:r>
    </w:p>
    <w:p>
      <w:pPr>
        <w:keepNext w:val="0"/>
        <w:keepLines w:val="0"/>
        <w:pageBreakBefore w:val="0"/>
        <w:widowControl/>
        <w:kinsoku/>
        <w:wordWrap/>
        <w:overflowPunct/>
        <w:topLinePunct w:val="0"/>
        <w:autoSpaceDE/>
        <w:autoSpaceDN/>
        <w:bidi w:val="0"/>
        <w:adjustRightInd/>
        <w:snapToGrid/>
        <w:spacing w:line="576" w:lineRule="exact"/>
        <w:ind w:left="0" w:leftChars="0" w:firstLine="729" w:firstLineChars="228"/>
        <w:jc w:val="both"/>
        <w:rPr>
          <w:rFonts w:hint="eastAsia" w:ascii="Calibri" w:hAnsi="Calibri" w:eastAsia="方正楷体简体" w:cs="Times New Roman"/>
          <w:bCs/>
          <w:color w:val="auto"/>
          <w:sz w:val="32"/>
          <w:szCs w:val="32"/>
        </w:rPr>
      </w:pPr>
      <w:r>
        <w:rPr>
          <w:rFonts w:hint="eastAsia" w:ascii="Calibri" w:hAnsi="Calibri" w:eastAsia="方正楷体简体" w:cs="Times New Roman"/>
          <w:bCs/>
          <w:color w:val="auto"/>
          <w:sz w:val="32"/>
          <w:szCs w:val="32"/>
        </w:rPr>
        <w:t>（一）基本支出情况</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0" w:leftChars="0" w:firstLine="729" w:firstLineChars="228"/>
        <w:jc w:val="both"/>
        <w:rPr>
          <w:rFonts w:ascii="Arial" w:hAnsi="Arial" w:eastAsia="方正仿宋简体" w:cs="Arial"/>
          <w:color w:val="auto"/>
          <w:kern w:val="0"/>
          <w:sz w:val="32"/>
          <w:szCs w:val="32"/>
        </w:rPr>
      </w:pPr>
      <w:r>
        <w:rPr>
          <w:rFonts w:hint="eastAsia" w:ascii="仿宋_GB2312" w:hAnsi="Calibri" w:eastAsia="方正仿宋简体" w:cs="Times New Roman"/>
          <w:color w:val="auto"/>
          <w:sz w:val="32"/>
          <w:szCs w:val="32"/>
        </w:rPr>
        <w:t>2023年度一般公共预算财政拨款基本支出197.37万元。其中:</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仿宋_GB2312" w:hAnsi="Calibri" w:eastAsia="方正仿宋简体" w:cs="Times New Roman"/>
          <w:color w:val="auto"/>
          <w:sz w:val="32"/>
          <w:szCs w:val="32"/>
        </w:rPr>
      </w:pPr>
      <w:r>
        <w:rPr>
          <w:rFonts w:hint="eastAsia" w:ascii="仿宋_GB2312" w:hAnsi="Calibri" w:eastAsia="方正仿宋简体" w:cs="Times New Roman"/>
          <w:color w:val="auto"/>
          <w:sz w:val="32"/>
          <w:szCs w:val="32"/>
        </w:rPr>
        <w:t>人员经费181.54万元，主要包括：按国家规定支出的基本工资69.74万元、津贴补贴32.39万元、奖金23.8万元、伙食补助费5.42万元、机关事业单位基本养老保险缴费17.14万元、职工医疗保险缴费9.54万元、住房公积金18.74万元、其他社会保障缴费2.94万元、其他工资福利支出0万元；</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仿宋_GB2312" w:hAnsi="Calibri" w:eastAsia="方正仿宋简体" w:cs="Times New Roman"/>
          <w:color w:val="auto"/>
          <w:sz w:val="32"/>
          <w:szCs w:val="32"/>
        </w:rPr>
      </w:pPr>
      <w:r>
        <w:rPr>
          <w:rFonts w:hint="eastAsia" w:ascii="仿宋_GB2312" w:hAnsi="Calibri" w:eastAsia="方正仿宋简体" w:cs="Times New Roman"/>
          <w:color w:val="auto"/>
          <w:sz w:val="32"/>
          <w:szCs w:val="32"/>
        </w:rPr>
        <w:t>公用经费15.83万元，主要包括：办公费0万元、印刷费0万元、水费0万元、电费0万元、邮电费0万元、劳务费1.7万元、差旅费0.18万元、会议费0.3万元、培训费0.07万元、公务接待费0.8万元、工会经费3.06万元；福利费3.03万元，其他交通费用支出6.72万元。</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仿宋_GB2312" w:hAnsi="Calibri" w:eastAsia="方正仿宋简体" w:cs="Times New Roman"/>
          <w:color w:val="auto"/>
          <w:sz w:val="32"/>
          <w:szCs w:val="32"/>
        </w:rPr>
      </w:pPr>
      <w:r>
        <w:rPr>
          <w:rFonts w:hint="eastAsia" w:ascii="仿宋_GB2312" w:hAnsi="Calibri" w:eastAsia="方正仿宋简体" w:cs="Times New Roman"/>
          <w:color w:val="auto"/>
          <w:sz w:val="32"/>
          <w:szCs w:val="32"/>
        </w:rPr>
        <w:t>其他对个人和家庭的补助支出1.19万元；</w:t>
      </w:r>
    </w:p>
    <w:p>
      <w:pPr>
        <w:pStyle w:val="19"/>
        <w:rPr>
          <w:rFonts w:hint="eastAsia"/>
        </w:rPr>
      </w:pP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二</w:t>
      </w:r>
      <w:r>
        <w:rPr>
          <w:rFonts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rPr>
        <w:t>项目</w:t>
      </w:r>
      <w:r>
        <w:rPr>
          <w:rFonts w:ascii="Times New Roman" w:hAnsi="Times New Roman" w:eastAsia="黑体" w:cs="Times New Roman"/>
          <w:color w:val="auto"/>
          <w:sz w:val="32"/>
          <w:szCs w:val="32"/>
        </w:rPr>
        <w:t>支出情况</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仿宋_GB2312" w:hAnsi="Calibri" w:eastAsia="方正仿宋简体" w:cs="Times New Roman"/>
          <w:color w:val="auto"/>
          <w:sz w:val="32"/>
          <w:szCs w:val="32"/>
        </w:rPr>
      </w:pPr>
      <w:r>
        <w:rPr>
          <w:rFonts w:hint="eastAsia" w:ascii="仿宋_GB2312" w:hAnsi="Calibri" w:eastAsia="方正仿宋简体" w:cs="Times New Roman"/>
          <w:color w:val="auto"/>
          <w:sz w:val="32"/>
          <w:szCs w:val="32"/>
        </w:rPr>
        <w:t>2023年政府性基金项目支出21.2万元，其中15万元用于四季红镇助力乡村振兴规划编制费，6.2万元用于移民培训宣传发动工作经费。一般公共预算资金41.1万元，主要用于移民项目的申报、实施、验收等所用的专项工作经费。</w:t>
      </w:r>
    </w:p>
    <w:p>
      <w:pPr>
        <w:pStyle w:val="19"/>
      </w:pP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黑体" w:cs="Times New Roman"/>
          <w:color w:val="auto"/>
          <w:sz w:val="32"/>
          <w:szCs w:val="32"/>
        </w:rPr>
      </w:pPr>
      <w:r>
        <w:rPr>
          <w:rFonts w:hint="eastAsia" w:ascii="Times New Roman" w:hAnsi="Times New Roman" w:eastAsia="黑体" w:cs="Times New Roman"/>
          <w:color w:val="auto"/>
          <w:sz w:val="32"/>
          <w:szCs w:val="32"/>
        </w:rPr>
        <w:t>三</w:t>
      </w:r>
      <w:r>
        <w:rPr>
          <w:rFonts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rPr>
        <w:t>政府性基金</w:t>
      </w:r>
      <w:r>
        <w:rPr>
          <w:rFonts w:ascii="Times New Roman" w:hAnsi="Times New Roman" w:eastAsia="黑体" w:cs="Times New Roman"/>
          <w:color w:val="auto"/>
          <w:sz w:val="32"/>
          <w:szCs w:val="32"/>
        </w:rPr>
        <w:t>预算支出情况</w:t>
      </w:r>
      <w:r>
        <w:rPr>
          <w:rFonts w:hint="eastAsia" w:ascii="Times New Roman" w:hAnsi="Times New Roman" w:eastAsia="黑体" w:cs="Times New Roman"/>
          <w:color w:val="auto"/>
          <w:sz w:val="32"/>
          <w:szCs w:val="32"/>
        </w:rPr>
        <w:t xml:space="preserve">  </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仿宋_GB2312" w:hAnsi="Calibri" w:eastAsia="方正仿宋简体" w:cs="Times New Roman"/>
          <w:color w:val="auto"/>
          <w:sz w:val="32"/>
          <w:szCs w:val="32"/>
        </w:rPr>
      </w:pPr>
      <w:r>
        <w:rPr>
          <w:rFonts w:hint="eastAsia" w:ascii="仿宋_GB2312" w:hAnsi="Calibri" w:eastAsia="方正仿宋简体" w:cs="Times New Roman"/>
          <w:color w:val="auto"/>
          <w:sz w:val="32"/>
          <w:szCs w:val="32"/>
        </w:rPr>
        <w:t>2023年政府性基金预算拨款21.2万元，其中15万元用于四季红镇助力乡村振兴规划编制费，6.2万元用于移民培训宣传发动工作经费。</w:t>
      </w:r>
    </w:p>
    <w:p>
      <w:pPr>
        <w:pStyle w:val="19"/>
        <w:rPr>
          <w:rFonts w:hint="eastAsia"/>
        </w:rPr>
      </w:pP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黑体" w:cs="Times New Roman"/>
          <w:color w:val="auto"/>
          <w:sz w:val="32"/>
          <w:szCs w:val="32"/>
        </w:rPr>
      </w:pPr>
      <w:r>
        <w:rPr>
          <w:rFonts w:ascii="Times New Roman" w:hAnsi="Times New Roman" w:eastAsia="黑体" w:cs="Times New Roman"/>
          <w:color w:val="auto"/>
          <w:sz w:val="32"/>
          <w:szCs w:val="32"/>
        </w:rPr>
        <w:t>四、国有资</w:t>
      </w:r>
      <w:r>
        <w:rPr>
          <w:rFonts w:hint="eastAsia" w:ascii="Times New Roman" w:hAnsi="Times New Roman" w:eastAsia="黑体" w:cs="Times New Roman"/>
          <w:color w:val="auto"/>
          <w:sz w:val="32"/>
          <w:szCs w:val="32"/>
        </w:rPr>
        <w:t>本</w:t>
      </w:r>
      <w:r>
        <w:rPr>
          <w:rFonts w:ascii="Times New Roman" w:hAnsi="Times New Roman" w:eastAsia="黑体" w:cs="Times New Roman"/>
          <w:color w:val="auto"/>
          <w:sz w:val="32"/>
          <w:szCs w:val="32"/>
        </w:rPr>
        <w:t>经营预算支出情况</w:t>
      </w:r>
      <w:r>
        <w:rPr>
          <w:rFonts w:hint="eastAsia" w:ascii="Times New Roman" w:hAnsi="Times New Roman" w:eastAsia="黑体" w:cs="Times New Roman"/>
          <w:color w:val="auto"/>
          <w:sz w:val="32"/>
          <w:szCs w:val="32"/>
        </w:rPr>
        <w:t xml:space="preserve">  </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仿宋_GB2312" w:hAnsi="Calibri" w:eastAsia="方正仿宋简体" w:cs="Times New Roman"/>
          <w:color w:val="auto"/>
          <w:sz w:val="32"/>
          <w:szCs w:val="32"/>
        </w:rPr>
      </w:pPr>
      <w:r>
        <w:rPr>
          <w:rFonts w:hint="eastAsia" w:ascii="仿宋_GB2312" w:hAnsi="Calibri" w:eastAsia="方正仿宋简体" w:cs="Times New Roman"/>
          <w:color w:val="auto"/>
          <w:sz w:val="32"/>
          <w:szCs w:val="32"/>
        </w:rPr>
        <w:t>2023年没有国有资本经营预算。</w:t>
      </w:r>
    </w:p>
    <w:p>
      <w:pPr>
        <w:pStyle w:val="19"/>
        <w:rPr>
          <w:rFonts w:hint="eastAsia"/>
        </w:rPr>
      </w:pP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Times New Roman" w:hAnsi="Times New Roman" w:eastAsia="黑体" w:cs="Times New Roman"/>
          <w:color w:val="auto"/>
          <w:kern w:val="2"/>
          <w:sz w:val="32"/>
          <w:szCs w:val="32"/>
          <w:lang w:val="en-US" w:eastAsia="zh-CN" w:bidi="ar-SA"/>
        </w:rPr>
      </w:pPr>
      <w:r>
        <w:rPr>
          <w:rFonts w:ascii="Times New Roman" w:hAnsi="Times New Roman" w:eastAsia="黑体" w:cs="Times New Roman"/>
          <w:color w:val="auto"/>
          <w:kern w:val="2"/>
          <w:sz w:val="32"/>
          <w:szCs w:val="32"/>
          <w:lang w:val="en-US" w:eastAsia="zh-CN" w:bidi="ar-SA"/>
        </w:rPr>
        <w:t>五、社会保险基金预算支出情况</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仿宋_GB2312" w:hAnsi="Calibri" w:eastAsia="方正仿宋简体" w:cs="Times New Roman"/>
          <w:color w:val="auto"/>
          <w:sz w:val="32"/>
          <w:szCs w:val="32"/>
        </w:rPr>
      </w:pPr>
      <w:r>
        <w:rPr>
          <w:rFonts w:hint="eastAsia" w:ascii="仿宋_GB2312" w:hAnsi="Calibri" w:eastAsia="方正仿宋简体" w:cs="Times New Roman"/>
          <w:color w:val="auto"/>
          <w:sz w:val="32"/>
          <w:szCs w:val="32"/>
        </w:rPr>
        <w:t>2023年没有社保基金预算。</w:t>
      </w:r>
    </w:p>
    <w:p>
      <w:pPr>
        <w:pStyle w:val="19"/>
        <w:rPr>
          <w:rFonts w:hint="eastAsia"/>
        </w:rPr>
      </w:pP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Calibri" w:hAnsi="Calibri" w:eastAsia="黑体" w:cs="Times New Roman"/>
          <w:color w:val="auto"/>
          <w:sz w:val="32"/>
          <w:szCs w:val="32"/>
        </w:rPr>
      </w:pPr>
      <w:r>
        <w:rPr>
          <w:rFonts w:ascii="Calibri" w:hAnsi="Calibri" w:eastAsia="黑体" w:cs="Times New Roman"/>
          <w:color w:val="auto"/>
          <w:sz w:val="32"/>
          <w:szCs w:val="32"/>
        </w:rPr>
        <w:t>六、部门整体支出绩效情况</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0" w:leftChars="0" w:firstLine="729" w:firstLineChars="228"/>
        <w:jc w:val="both"/>
        <w:rPr>
          <w:rFonts w:ascii="Arial" w:hAnsi="Arial" w:eastAsia="方正仿宋简体" w:cs="Arial"/>
          <w:color w:val="auto"/>
          <w:kern w:val="0"/>
          <w:sz w:val="32"/>
          <w:szCs w:val="32"/>
        </w:rPr>
      </w:pPr>
      <w:r>
        <w:rPr>
          <w:rFonts w:hint="eastAsia" w:ascii="宋体" w:hAnsi="宋体" w:eastAsia="方正仿宋简体" w:cs="Arial"/>
          <w:color w:val="auto"/>
          <w:kern w:val="0"/>
          <w:sz w:val="32"/>
          <w:szCs w:val="32"/>
        </w:rPr>
        <w:t>个性指标：2023年，上级部门对市库区移民事务中心绩效考核工作有：一是重点民生实事，二是移民产业开发项目，三是移民培训，四是移民资金管理。</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仿宋_GB2312" w:hAnsi="Calibri" w:eastAsia="方正仿宋简体" w:cs="Times New Roman"/>
          <w:color w:val="auto"/>
          <w:sz w:val="32"/>
          <w:szCs w:val="32"/>
        </w:rPr>
      </w:pPr>
      <w:r>
        <w:rPr>
          <w:rFonts w:ascii="仿宋_GB2312" w:hAnsi="Calibri" w:eastAsia="方正仿宋简体" w:cs="Times New Roman"/>
          <w:color w:val="auto"/>
          <w:sz w:val="32"/>
          <w:szCs w:val="32"/>
        </w:rPr>
        <w:t>20</w:t>
      </w:r>
      <w:r>
        <w:rPr>
          <w:rFonts w:hint="eastAsia" w:ascii="仿宋_GB2312" w:hAnsi="Calibri" w:eastAsia="方正仿宋简体" w:cs="Times New Roman"/>
          <w:color w:val="auto"/>
          <w:sz w:val="32"/>
          <w:szCs w:val="32"/>
        </w:rPr>
        <w:t>23年度移民专项争资经费给我局圆满完成了市委市政府下达的立项争资任务，全年共争取了上级资金5762.66万元，资金绩效显著。具体表现如下：</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仿宋_GB2312" w:hAnsi="Calibri" w:eastAsia="方正仿宋简体" w:cs="Times New Roman"/>
          <w:color w:val="auto"/>
          <w:sz w:val="32"/>
          <w:szCs w:val="32"/>
        </w:rPr>
      </w:pPr>
      <w:r>
        <w:rPr>
          <w:rFonts w:ascii="仿宋_GB2312" w:hAnsi="Calibri" w:eastAsia="方正仿宋简体" w:cs="Times New Roman"/>
          <w:color w:val="auto"/>
          <w:sz w:val="32"/>
          <w:szCs w:val="32"/>
        </w:rPr>
        <w:t>1</w:t>
      </w:r>
      <w:r>
        <w:rPr>
          <w:rFonts w:hint="eastAsia" w:ascii="仿宋_GB2312" w:hAnsi="Calibri" w:eastAsia="方正仿宋简体" w:cs="Times New Roman"/>
          <w:color w:val="auto"/>
          <w:sz w:val="32"/>
          <w:szCs w:val="32"/>
        </w:rPr>
        <w:t>、统筹安排，加强后扶政策措施，严格按照上级要求，加强后扶人口动态管理，足额发放移民后扶直补资金578.1万元，实际发放人数9635人，加强移民技能培训4批次1184人。</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仿宋_GB2312" w:hAnsi="Calibri" w:eastAsia="方正仿宋简体" w:cs="Times New Roman"/>
          <w:color w:val="auto"/>
          <w:sz w:val="32"/>
          <w:szCs w:val="32"/>
        </w:rPr>
      </w:pPr>
      <w:r>
        <w:rPr>
          <w:rFonts w:ascii="仿宋_GB2312" w:hAnsi="Calibri" w:eastAsia="方正仿宋简体" w:cs="Times New Roman"/>
          <w:color w:val="auto"/>
          <w:sz w:val="32"/>
          <w:szCs w:val="32"/>
        </w:rPr>
        <w:t>2</w:t>
      </w:r>
      <w:r>
        <w:rPr>
          <w:rFonts w:hint="eastAsia" w:ascii="仿宋_GB2312" w:hAnsi="Calibri" w:eastAsia="方正仿宋简体" w:cs="Times New Roman"/>
          <w:color w:val="auto"/>
          <w:sz w:val="32"/>
          <w:szCs w:val="32"/>
        </w:rPr>
        <w:t>、强化2023年好项目资金定期调度机制，聚焦移民后扶政策落实，一卡通惠农资金发放，“十四五”规划的实施，重点移民村建设，产业示范项目建设。</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仿宋_GB2312" w:hAnsi="Calibri" w:eastAsia="方正仿宋简体" w:cs="Times New Roman"/>
          <w:color w:val="auto"/>
          <w:sz w:val="32"/>
          <w:szCs w:val="32"/>
        </w:rPr>
      </w:pPr>
      <w:r>
        <w:rPr>
          <w:rFonts w:ascii="仿宋_GB2312" w:hAnsi="Calibri" w:eastAsia="方正仿宋简体" w:cs="Times New Roman"/>
          <w:color w:val="auto"/>
          <w:sz w:val="32"/>
          <w:szCs w:val="32"/>
        </w:rPr>
        <w:t>3</w:t>
      </w:r>
      <w:r>
        <w:rPr>
          <w:rFonts w:hint="eastAsia" w:ascii="仿宋_GB2312" w:hAnsi="Calibri" w:eastAsia="方正仿宋简体" w:cs="Times New Roman"/>
          <w:color w:val="auto"/>
          <w:sz w:val="32"/>
          <w:szCs w:val="32"/>
        </w:rPr>
        <w:t>、抓风险稳控，促大局稳定。创建“中心引导、属地主管、信息共享、上下连动”机制，定期排查风险，及时准确把握信息动态，深入分析补稳定因素，尽量把矛盾和问题化解在萌芽状态中，截止目前，全市6年无移民非法进省金京上访情况，移民群众整体稳定，获得上级充分肯定。</w:t>
      </w:r>
    </w:p>
    <w:p>
      <w:pPr>
        <w:pStyle w:val="19"/>
        <w:rPr>
          <w:rFonts w:hint="eastAsia" w:eastAsia="方正仿宋简体"/>
          <w:lang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576" w:lineRule="exact"/>
        <w:ind w:left="0" w:leftChars="0" w:firstLine="729" w:firstLineChars="228"/>
        <w:jc w:val="both"/>
        <w:rPr>
          <w:rFonts w:ascii="Times New Roman" w:hAnsi="Times New Roman" w:eastAsia="黑体" w:cs="Times New Roman"/>
          <w:color w:val="auto"/>
          <w:kern w:val="2"/>
          <w:sz w:val="32"/>
          <w:szCs w:val="32"/>
          <w:lang w:val="en-US" w:eastAsia="zh-CN" w:bidi="ar-SA"/>
        </w:rPr>
      </w:pPr>
      <w:r>
        <w:rPr>
          <w:rFonts w:ascii="Times New Roman" w:hAnsi="Times New Roman" w:eastAsia="黑体" w:cs="Times New Roman"/>
          <w:color w:val="auto"/>
          <w:kern w:val="2"/>
          <w:sz w:val="32"/>
          <w:szCs w:val="32"/>
          <w:lang w:val="en-US" w:eastAsia="zh-CN" w:bidi="ar-SA"/>
        </w:rPr>
        <w:t>存在的问题及原因分析</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方正仿宋简体" w:hAnsi="方正仿宋简体" w:eastAsia="方正仿宋简体" w:cs="方正仿宋简体"/>
          <w:color w:val="auto"/>
          <w:sz w:val="32"/>
          <w:szCs w:val="32"/>
        </w:rPr>
      </w:pPr>
      <w:r>
        <w:rPr>
          <w:rFonts w:hint="eastAsia" w:ascii="Calibri" w:hAnsi="Calibri" w:eastAsia="方正楷体简体" w:cs="Times New Roman"/>
          <w:bCs/>
          <w:color w:val="auto"/>
          <w:sz w:val="32"/>
          <w:szCs w:val="32"/>
        </w:rPr>
        <w:t>（一）产业发展基础比较薄弱。</w:t>
      </w:r>
      <w:r>
        <w:rPr>
          <w:rFonts w:hint="eastAsia" w:ascii="仿宋_GB2312" w:hAnsi="黑体" w:eastAsia="方正仿宋简体" w:cs="方正仿宋简体"/>
          <w:color w:val="auto"/>
          <w:sz w:val="32"/>
          <w:szCs w:val="32"/>
        </w:rPr>
        <w:t>四季红腐乳产业去年才形成规模，入园企业从事大规模生产还有一个适用阶段，蔺草产业也是去年才见成效，虾稻产业虽然在养殖方面形成规模，但虾稻产业链延伸不够，没有收贮，错峰销售，更没有延伸到消费终端完善的产业链，虾稻的附加值不高，品牌不亮，其他产业都还只是初具雏形，发展壮大需要后续的不断支持。</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华文仿宋" w:hAnsi="华文仿宋" w:eastAsia="方正仿宋简体" w:cs="仿宋_GB2312"/>
          <w:color w:val="auto"/>
          <w:kern w:val="0"/>
          <w:sz w:val="32"/>
          <w:szCs w:val="32"/>
        </w:rPr>
      </w:pPr>
      <w:r>
        <w:rPr>
          <w:rFonts w:hint="eastAsia" w:ascii="Calibri" w:hAnsi="Calibri" w:eastAsia="方正楷体简体" w:cs="Times New Roman"/>
          <w:bCs/>
          <w:color w:val="auto"/>
          <w:sz w:val="32"/>
          <w:szCs w:val="32"/>
        </w:rPr>
        <w:t>（二）移民干部队伍力量薄弱。</w:t>
      </w:r>
      <w:r>
        <w:rPr>
          <w:rFonts w:hint="eastAsia" w:ascii="华文仿宋" w:hAnsi="华文仿宋" w:eastAsia="方正仿宋简体" w:cs="仿宋_GB2312"/>
          <w:color w:val="auto"/>
          <w:kern w:val="0"/>
          <w:sz w:val="32"/>
          <w:szCs w:val="32"/>
        </w:rPr>
        <w:t>随着机构改革和管理体制的变化，我市移民工作机构干部队伍建设有所弱化，由于单位涉及参公，近几年一直不能招聘人员，导致机关干部职工年龄普遍偏大，后备力量严重不足，队伍青黄不接，</w:t>
      </w:r>
      <w:r>
        <w:rPr>
          <w:rFonts w:hint="eastAsia" w:ascii="方正仿宋简体" w:hAnsi="Calibri" w:eastAsia="方正仿宋简体" w:cs="Times New Roman"/>
          <w:color w:val="auto"/>
          <w:sz w:val="32"/>
          <w:szCs w:val="32"/>
        </w:rPr>
        <w:t>特别是财务、工程2位专业人员已相继退休（现有财务人员是返聘已退休人员），严重</w:t>
      </w:r>
      <w:r>
        <w:rPr>
          <w:rFonts w:hint="eastAsia" w:ascii="华文仿宋" w:hAnsi="华文仿宋" w:eastAsia="方正仿宋简体" w:cs="仿宋_GB2312"/>
          <w:color w:val="auto"/>
          <w:kern w:val="0"/>
          <w:sz w:val="32"/>
          <w:szCs w:val="32"/>
        </w:rPr>
        <w:t>影响移民工作的长期开展。</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仿宋" w:hAnsi="仿宋" w:eastAsia="仿宋" w:cs="Times New Roman"/>
          <w:color w:val="auto"/>
          <w:sz w:val="32"/>
          <w:szCs w:val="32"/>
        </w:rPr>
      </w:pPr>
      <w:r>
        <w:rPr>
          <w:rFonts w:hint="eastAsia" w:ascii="Calibri" w:hAnsi="Calibri" w:eastAsia="方正楷体简体" w:cs="Times New Roman"/>
          <w:bCs/>
          <w:color w:val="auto"/>
          <w:sz w:val="32"/>
          <w:szCs w:val="32"/>
        </w:rPr>
        <w:t>（三）转型发展期维稳压力较大。</w:t>
      </w:r>
      <w:r>
        <w:rPr>
          <w:rFonts w:ascii="仿宋" w:hAnsi="仿宋" w:eastAsia="仿宋" w:cs="宋体"/>
          <w:color w:val="auto"/>
          <w:sz w:val="32"/>
          <w:szCs w:val="32"/>
        </w:rPr>
        <w:t>由于历史等方面的原因，</w:t>
      </w:r>
      <w:r>
        <w:rPr>
          <w:rFonts w:hint="eastAsia" w:ascii="仿宋" w:hAnsi="仿宋" w:eastAsia="仿宋" w:cs="宋体"/>
          <w:color w:val="auto"/>
          <w:sz w:val="32"/>
          <w:szCs w:val="32"/>
        </w:rPr>
        <w:t>加上一些优惠政策在各地实施的不同，造成移民群众对政策不理解，特别是我市四季红镇的移民要求享受与常德西湖区移民享受同等待遇的呼声越来越高</w:t>
      </w:r>
      <w:r>
        <w:rPr>
          <w:rFonts w:hint="eastAsia" w:ascii="仿宋" w:hAnsi="仿宋" w:eastAsia="仿宋" w:cs="Times New Roman"/>
          <w:color w:val="auto"/>
          <w:sz w:val="32"/>
          <w:szCs w:val="32"/>
        </w:rPr>
        <w:t>，使我市移民维稳压力越来越大。</w:t>
      </w:r>
    </w:p>
    <w:p>
      <w:pPr>
        <w:pStyle w:val="19"/>
        <w:rPr>
          <w:rFonts w:hint="eastAsia" w:ascii="仿宋" w:hAnsi="仿宋" w:eastAsia="仿宋" w:cs="Times New Roman"/>
          <w:color w:val="auto"/>
          <w:sz w:val="32"/>
          <w:szCs w:val="32"/>
        </w:rPr>
      </w:pPr>
    </w:p>
    <w:p>
      <w:pPr>
        <w:pStyle w:val="19"/>
        <w:rPr>
          <w:rFonts w:hint="eastAsia" w:ascii="仿宋" w:hAnsi="仿宋" w:eastAsia="仿宋" w:cs="Times New Roman"/>
          <w:color w:val="auto"/>
          <w:sz w:val="32"/>
          <w:szCs w:val="32"/>
        </w:rPr>
      </w:pP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Calibri" w:hAnsi="Calibri" w:eastAsia="黑体" w:cs="Times New Roman"/>
          <w:color w:val="auto"/>
          <w:sz w:val="32"/>
          <w:szCs w:val="32"/>
        </w:rPr>
      </w:pPr>
      <w:r>
        <w:rPr>
          <w:rFonts w:ascii="Calibri" w:hAnsi="Calibri" w:eastAsia="黑体" w:cs="Times New Roman"/>
          <w:color w:val="auto"/>
          <w:sz w:val="32"/>
          <w:szCs w:val="32"/>
        </w:rPr>
        <w:t>八、下一步改进措施</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方正仿宋简体" w:hAnsi="华文仿宋" w:eastAsia="方正仿宋简体" w:cs="Times New Roman"/>
          <w:color w:val="auto"/>
          <w:sz w:val="32"/>
          <w:szCs w:val="32"/>
        </w:rPr>
      </w:pPr>
      <w:r>
        <w:rPr>
          <w:rFonts w:hint="eastAsia" w:ascii="Calibri" w:hAnsi="Calibri" w:eastAsia="方正楷体简体" w:cs="Times New Roman"/>
          <w:bCs/>
          <w:color w:val="auto"/>
          <w:sz w:val="32"/>
          <w:szCs w:val="32"/>
        </w:rPr>
        <w:t>（一）加大项目攻坚，助力乡村振兴。</w:t>
      </w:r>
      <w:r>
        <w:rPr>
          <w:rFonts w:hint="eastAsia" w:ascii="方正仿宋简体" w:hAnsi="仿宋_GB2312" w:eastAsia="方正仿宋简体" w:cs="仿宋_GB2312"/>
          <w:bCs/>
          <w:color w:val="auto"/>
          <w:sz w:val="32"/>
          <w:szCs w:val="32"/>
        </w:rPr>
        <w:t>以打造省级乡村振兴移民示范镇和全国移民集中安置示范区为目标，紧紧围绕沅江市委市政府提出“一镇两村多园”的乡村振兴发展格局，以此为战略发展契机，形成资金叠加效应，</w:t>
      </w:r>
      <w:r>
        <w:rPr>
          <w:rFonts w:hint="eastAsia" w:ascii="方正仿宋简体" w:hAnsi="方正仿宋简体" w:eastAsia="方正仿宋简体" w:cs="方正仿宋简体"/>
          <w:color w:val="auto"/>
          <w:kern w:val="0"/>
          <w:sz w:val="32"/>
          <w:szCs w:val="32"/>
          <w:shd w:val="clear" w:color="auto" w:fill="FFFFFF"/>
        </w:rPr>
        <w:t>积极主动向省市中心汇报工作进展，</w:t>
      </w:r>
      <w:r>
        <w:rPr>
          <w:rFonts w:hint="eastAsia" w:ascii="方正仿宋简体" w:hAnsi="仿宋_GB2312" w:eastAsia="方正仿宋简体" w:cs="仿宋_GB2312"/>
          <w:bCs/>
          <w:color w:val="auto"/>
          <w:sz w:val="32"/>
          <w:szCs w:val="32"/>
        </w:rPr>
        <w:t>进一步加大立项争资力度，力</w:t>
      </w:r>
      <w:r>
        <w:rPr>
          <w:rFonts w:hint="eastAsia" w:ascii="方正仿宋简体" w:hAnsi="华文仿宋" w:eastAsia="方正仿宋简体" w:cs="Times New Roman"/>
          <w:color w:val="auto"/>
          <w:sz w:val="32"/>
          <w:szCs w:val="32"/>
        </w:rPr>
        <w:t>争在移民安居乐业、美丽家园建设、特色产业发展、移民品牌创建、集体经济创收等工作上有新的突破，全域带动移民群众增收，提升移民群众幸福感、获得感，圆满出色完成移民政策落地开花结果的历史使命。</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0" w:leftChars="0" w:firstLine="729" w:firstLineChars="228"/>
        <w:jc w:val="both"/>
        <w:rPr>
          <w:rFonts w:ascii="方正仿宋简体" w:hAnsi="方正仿宋简体" w:eastAsia="方正仿宋简体" w:cs="方正仿宋简体"/>
          <w:color w:val="auto"/>
          <w:kern w:val="0"/>
          <w:sz w:val="32"/>
          <w:szCs w:val="32"/>
          <w:shd w:val="clear" w:color="auto" w:fill="FFFFFF"/>
        </w:rPr>
      </w:pPr>
      <w:r>
        <w:rPr>
          <w:rFonts w:hint="eastAsia" w:ascii="Calibri" w:hAnsi="Calibri" w:eastAsia="方正楷体简体" w:cs="Times New Roman"/>
          <w:bCs/>
          <w:color w:val="auto"/>
          <w:sz w:val="32"/>
          <w:szCs w:val="32"/>
        </w:rPr>
        <w:t>（二）推进重点移民村建设，建设移民特色小镇。</w:t>
      </w:r>
      <w:r>
        <w:rPr>
          <w:rFonts w:hint="eastAsia" w:ascii="方正仿宋简体" w:hAnsi="方正仿宋简体" w:eastAsia="方正仿宋简体" w:cs="方正仿宋简体"/>
          <w:color w:val="auto"/>
          <w:kern w:val="0"/>
          <w:sz w:val="32"/>
          <w:szCs w:val="32"/>
          <w:shd w:val="clear" w:color="auto" w:fill="FFFFFF"/>
        </w:rPr>
        <w:t>以省水利厅关于省重点移民村美丽家园建设指南的要求，</w:t>
      </w:r>
      <w:r>
        <w:rPr>
          <w:rFonts w:hint="eastAsia" w:ascii="方正仿宋简体" w:hAnsi="方正仿宋简体" w:eastAsia="方正仿宋简体" w:cs="方正仿宋简体"/>
          <w:bCs/>
          <w:color w:val="auto"/>
          <w:sz w:val="32"/>
          <w:szCs w:val="32"/>
        </w:rPr>
        <w:t>依托“三高四新”战略，利用独特的区位条件、移民特色等，着力特色产业、突出生态环保、推进乡风文明等方面下功夫，</w:t>
      </w:r>
      <w:r>
        <w:rPr>
          <w:rFonts w:hint="eastAsia" w:ascii="方正仿宋简体" w:hAnsi="方正仿宋简体" w:eastAsia="方正仿宋简体" w:cs="方正仿宋简体"/>
          <w:color w:val="auto"/>
          <w:kern w:val="0"/>
          <w:sz w:val="32"/>
          <w:szCs w:val="32"/>
          <w:shd w:val="clear" w:color="auto" w:fill="FFFFFF"/>
        </w:rPr>
        <w:t>实施重点移民村美丽家园建设，重点把四季红镇集中安置区打造成移民美丽家园示范区，</w:t>
      </w:r>
      <w:r>
        <w:rPr>
          <w:rFonts w:hint="eastAsia" w:ascii="方正仿宋简体" w:hAnsi="方正仿宋简体" w:eastAsia="方正仿宋简体" w:cs="方正仿宋简体"/>
          <w:bCs/>
          <w:color w:val="auto"/>
          <w:sz w:val="32"/>
          <w:szCs w:val="32"/>
        </w:rPr>
        <w:t>强力推进移民特色小镇建设，带动移民群众增收致富，</w:t>
      </w:r>
      <w:r>
        <w:rPr>
          <w:rFonts w:hint="eastAsia" w:ascii="方正仿宋简体" w:hAnsi="方正仿宋简体" w:eastAsia="方正仿宋简体" w:cs="方正仿宋简体"/>
          <w:color w:val="auto"/>
          <w:kern w:val="0"/>
          <w:sz w:val="32"/>
          <w:szCs w:val="32"/>
          <w:shd w:val="clear" w:color="auto" w:fill="FFFFFF"/>
        </w:rPr>
        <w:t>促进库区和移民安置区发展动力更足，增收渠道更宽，人居环境更美，社会更和谐。</w:t>
      </w:r>
      <w:r>
        <w:rPr>
          <w:rFonts w:ascii="方正仿宋简体" w:hAnsi="方正仿宋简体" w:eastAsia="方正仿宋简体" w:cs="方正仿宋简体"/>
          <w:color w:val="auto"/>
          <w:kern w:val="0"/>
          <w:sz w:val="32"/>
          <w:szCs w:val="32"/>
          <w:shd w:val="clear" w:color="auto" w:fill="FFFFFF"/>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76" w:lineRule="exact"/>
        <w:ind w:left="0" w:leftChars="0" w:firstLine="729" w:firstLineChars="228"/>
        <w:jc w:val="both"/>
        <w:rPr>
          <w:rFonts w:ascii="方正仿宋简体" w:hAnsi="方正仿宋简体" w:eastAsia="方正仿宋简体" w:cs="方正仿宋简体"/>
          <w:color w:val="auto"/>
          <w:kern w:val="0"/>
          <w:sz w:val="32"/>
          <w:szCs w:val="32"/>
          <w:shd w:val="clear" w:color="auto" w:fill="FFFFFF"/>
        </w:rPr>
      </w:pPr>
      <w:r>
        <w:rPr>
          <w:rFonts w:hint="eastAsia" w:ascii="Calibri" w:hAnsi="Calibri" w:eastAsia="方正楷体简体" w:cs="Times New Roman"/>
          <w:bCs/>
          <w:color w:val="auto"/>
          <w:sz w:val="32"/>
          <w:szCs w:val="32"/>
        </w:rPr>
        <w:t>（三）壮大村集体经济，提高基层造血功能。</w:t>
      </w:r>
      <w:r>
        <w:rPr>
          <w:rFonts w:hint="eastAsia" w:ascii="方正仿宋简体" w:hAnsi="方正仿宋简体" w:eastAsia="方正仿宋简体" w:cs="方正仿宋简体"/>
          <w:color w:val="auto"/>
          <w:kern w:val="0"/>
          <w:sz w:val="32"/>
          <w:szCs w:val="32"/>
          <w:shd w:val="clear" w:color="auto" w:fill="FFFFFF"/>
        </w:rPr>
        <w:t>按照益阳市委和沅江市委提出的发展壮大村级集体经济三年行动计划，立足移民安置区和库区实际，继续完善好、运行好现有的村级集体产业，力争各村（社区）集体收入均达10万元以上，确保年增长率不低于6%，立志走在全市村级集体经济发展的前列。</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楷体_GB2312" w:hAnsi="楷体_GB2312" w:eastAsia="方正楷体简体" w:cs="楷体_GB2312"/>
          <w:b/>
          <w:bCs/>
          <w:color w:val="auto"/>
          <w:sz w:val="32"/>
          <w:szCs w:val="32"/>
        </w:rPr>
      </w:pPr>
      <w:r>
        <w:rPr>
          <w:rFonts w:hint="eastAsia" w:ascii="Calibri" w:hAnsi="Calibri" w:eastAsia="方正楷体简体" w:cs="Times New Roman"/>
          <w:bCs/>
          <w:color w:val="auto"/>
          <w:sz w:val="32"/>
          <w:szCs w:val="32"/>
        </w:rPr>
        <w:t>（四）促进产业发展，做强移民经济。</w:t>
      </w:r>
      <w:r>
        <w:rPr>
          <w:rFonts w:hint="eastAsia" w:ascii="华文仿宋" w:hAnsi="华文仿宋" w:eastAsia="方正仿宋简体" w:cs="方正仿宋简体"/>
          <w:color w:val="auto"/>
          <w:sz w:val="32"/>
          <w:szCs w:val="32"/>
        </w:rPr>
        <w:t>整合发展腐乳产业，培育龙头企业全力打造四季红镇移民特色产业园，利用腐乳产业园区平台对腐乳加工企业生产进行规范，狠抓腐乳生产质量，着力打造四季红腐乳新品牌；做精做优稻虾产业，推广生态、绿色养殖，延伸小龙虾加工产业链，开展小龙虾产品深加工，进一步挖掘和提升小龙虾附加值；大力推广</w:t>
      </w:r>
      <w:r>
        <w:rPr>
          <w:rFonts w:hint="eastAsia" w:ascii="华文仿宋" w:hAnsi="华文仿宋" w:eastAsia="方正仿宋简体" w:cs="Times New Roman"/>
          <w:color w:val="auto"/>
          <w:sz w:val="32"/>
          <w:szCs w:val="32"/>
        </w:rPr>
        <w:t>蔺</w:t>
      </w:r>
      <w:r>
        <w:rPr>
          <w:rFonts w:hint="eastAsia" w:ascii="华文仿宋" w:hAnsi="华文仿宋" w:eastAsia="方正仿宋简体" w:cs="方正仿宋简体"/>
          <w:color w:val="auto"/>
          <w:sz w:val="32"/>
          <w:szCs w:val="32"/>
        </w:rPr>
        <w:t>草种植和加工，切实增加移民收入。</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ascii="仿宋" w:hAnsi="仿宋" w:eastAsia="仿宋" w:cs="Times New Roman"/>
          <w:color w:val="auto"/>
          <w:sz w:val="32"/>
          <w:szCs w:val="32"/>
        </w:rPr>
      </w:pPr>
      <w:r>
        <w:rPr>
          <w:rFonts w:hint="eastAsia" w:ascii="Calibri" w:hAnsi="Calibri" w:eastAsia="方正楷体简体" w:cs="Times New Roman"/>
          <w:bCs/>
          <w:color w:val="auto"/>
          <w:sz w:val="32"/>
          <w:szCs w:val="32"/>
        </w:rPr>
        <w:t>（五）创建平安移民新村，保持大局稳定。</w:t>
      </w:r>
      <w:r>
        <w:rPr>
          <w:rFonts w:hint="eastAsia" w:ascii="方正仿宋简体" w:hAnsi="方正仿宋简体" w:eastAsia="方正仿宋简体" w:cs="方正仿宋简体"/>
          <w:color w:val="auto"/>
          <w:kern w:val="0"/>
          <w:sz w:val="32"/>
          <w:szCs w:val="32"/>
          <w:shd w:val="clear" w:color="auto" w:fill="FFFFFF"/>
        </w:rPr>
        <w:t>牢固树立“稳定是第一责任，发展是第一要务，安全是第一保障”的思想，</w:t>
      </w:r>
      <w:r>
        <w:rPr>
          <w:rFonts w:hint="eastAsia" w:ascii="仿宋" w:hAnsi="仿宋" w:eastAsia="仿宋" w:cs="Times New Roman"/>
          <w:color w:val="auto"/>
          <w:sz w:val="32"/>
          <w:szCs w:val="32"/>
        </w:rPr>
        <w:t>继续加强信访维稳工作力度，做好库区移民遗留问题协调处理工作，确保库区移民稳定发展。</w:t>
      </w:r>
      <w:r>
        <w:rPr>
          <w:rFonts w:ascii="仿宋" w:hAnsi="仿宋" w:eastAsia="仿宋" w:cs="Times New Roman"/>
          <w:color w:val="auto"/>
          <w:sz w:val="32"/>
          <w:szCs w:val="32"/>
        </w:rPr>
        <w:t>以创新机制为抓手，开展创建“平安移民</w:t>
      </w:r>
      <w:r>
        <w:rPr>
          <w:rFonts w:hint="eastAsia" w:ascii="仿宋" w:hAnsi="仿宋" w:eastAsia="仿宋" w:cs="Times New Roman"/>
          <w:color w:val="auto"/>
          <w:sz w:val="32"/>
          <w:szCs w:val="32"/>
        </w:rPr>
        <w:t>村</w:t>
      </w:r>
      <w:r>
        <w:rPr>
          <w:rFonts w:ascii="仿宋" w:hAnsi="仿宋" w:eastAsia="仿宋" w:cs="Times New Roman"/>
          <w:color w:val="auto"/>
          <w:sz w:val="32"/>
          <w:szCs w:val="32"/>
        </w:rPr>
        <w:t>”活动，动态推进移民信访稳定工作。</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Calibri" w:hAnsi="Calibri" w:eastAsia="黑体" w:cs="Times New Roman"/>
          <w:color w:val="auto"/>
          <w:sz w:val="32"/>
          <w:szCs w:val="32"/>
        </w:rPr>
      </w:pPr>
      <w:r>
        <w:rPr>
          <w:rFonts w:ascii="Calibri" w:hAnsi="Calibri" w:eastAsia="黑体" w:cs="Times New Roman"/>
          <w:color w:val="auto"/>
          <w:sz w:val="32"/>
          <w:szCs w:val="32"/>
        </w:rPr>
        <w:t>九、绩效自评结果拟应用和公开情况</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宋体" w:hAnsi="宋体" w:eastAsia="方正仿宋简体" w:cs="宋体"/>
          <w:color w:val="auto"/>
          <w:sz w:val="32"/>
          <w:szCs w:val="32"/>
        </w:rPr>
      </w:pPr>
      <w:r>
        <w:rPr>
          <w:rFonts w:hint="default" w:ascii="宋体" w:hAnsi="宋体" w:eastAsia="方正仿宋简体" w:cs="宋体"/>
          <w:color w:val="auto"/>
          <w:sz w:val="32"/>
          <w:szCs w:val="32"/>
          <w:lang w:val="en-US"/>
        </w:rPr>
        <w:t>2</w:t>
      </w:r>
      <w:r>
        <w:rPr>
          <w:rFonts w:hint="eastAsia" w:ascii="宋体" w:hAnsi="宋体" w:eastAsia="方正仿宋简体" w:cs="宋体"/>
          <w:color w:val="auto"/>
          <w:sz w:val="32"/>
          <w:szCs w:val="32"/>
        </w:rPr>
        <w:t>023年初预算、绩效申报均由财政业务部门在政府网站统一公开。</w:t>
      </w:r>
    </w:p>
    <w:p>
      <w:pPr>
        <w:keepNext w:val="0"/>
        <w:keepLines w:val="0"/>
        <w:pageBreakBefore w:val="0"/>
        <w:kinsoku/>
        <w:wordWrap/>
        <w:overflowPunct/>
        <w:topLinePunct w:val="0"/>
        <w:autoSpaceDE/>
        <w:autoSpaceDN/>
        <w:bidi w:val="0"/>
        <w:adjustRightInd/>
        <w:snapToGrid/>
        <w:spacing w:line="576" w:lineRule="exact"/>
        <w:ind w:left="0" w:leftChars="0" w:firstLine="729" w:firstLineChars="228"/>
        <w:jc w:val="both"/>
        <w:rPr>
          <w:rFonts w:hint="eastAsia" w:ascii="Calibri" w:hAnsi="Calibri" w:eastAsia="黑体" w:cs="Times New Roman"/>
          <w:color w:val="auto"/>
          <w:sz w:val="32"/>
          <w:szCs w:val="32"/>
        </w:rPr>
      </w:pPr>
      <w:r>
        <w:rPr>
          <w:rFonts w:hint="eastAsia" w:ascii="Calibri" w:hAnsi="Calibri" w:eastAsia="黑体" w:cs="Times New Roman"/>
          <w:color w:val="auto"/>
          <w:sz w:val="32"/>
          <w:szCs w:val="32"/>
        </w:rPr>
        <w:t>十、</w:t>
      </w:r>
      <w:r>
        <w:rPr>
          <w:rFonts w:ascii="Calibri" w:hAnsi="Calibri" w:eastAsia="黑体" w:cs="Times New Roman"/>
          <w:color w:val="auto"/>
          <w:sz w:val="32"/>
          <w:szCs w:val="32"/>
        </w:rPr>
        <w:t>其他需要说明的情况</w:t>
      </w:r>
    </w:p>
    <w:p>
      <w:pPr>
        <w:rPr>
          <w:rFonts w:hint="default" w:ascii="宋体" w:hAnsi="宋体" w:eastAsia="方正仿宋简体" w:cs="宋体"/>
          <w:color w:val="auto"/>
          <w:sz w:val="32"/>
          <w:szCs w:val="32"/>
          <w:lang w:val="en-US" w:eastAsia="zh-CN"/>
        </w:rPr>
      </w:pPr>
      <w:r>
        <w:rPr>
          <w:rFonts w:hint="eastAsia" w:cs="黑体" w:asciiTheme="minorEastAsia" w:hAnsiTheme="minorEastAsia"/>
          <w:color w:val="000000"/>
          <w:kern w:val="0"/>
          <w:sz w:val="32"/>
          <w:szCs w:val="32"/>
          <w:lang w:val="en-US" w:eastAsia="zh-CN"/>
        </w:rPr>
        <w:t xml:space="preserve">     </w:t>
      </w:r>
      <w:r>
        <w:rPr>
          <w:rFonts w:hint="eastAsia" w:ascii="宋体" w:hAnsi="宋体" w:eastAsia="方正仿宋简体" w:cs="宋体"/>
          <w:color w:val="auto"/>
          <w:sz w:val="32"/>
          <w:szCs w:val="32"/>
          <w:lang w:val="en-US" w:eastAsia="zh-CN"/>
        </w:rPr>
        <w:t>无其他需要说明的情况。</w:t>
      </w:r>
    </w:p>
    <w:p>
      <w:pPr>
        <w:pStyle w:val="13"/>
        <w:rPr>
          <w:sz w:val="72"/>
          <w:szCs w:val="72"/>
        </w:rPr>
      </w:pPr>
    </w:p>
    <w:p>
      <w:pPr>
        <w:pStyle w:val="13"/>
        <w:rPr>
          <w:sz w:val="72"/>
          <w:szCs w:val="72"/>
        </w:rPr>
      </w:pPr>
    </w:p>
    <w:p>
      <w:pPr>
        <w:pStyle w:val="13"/>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方正楷体_GBK"/>
    <w:panose1 w:val="02010609030101010101"/>
    <w:charset w:val="00"/>
    <w:family w:val="modern"/>
    <w:pitch w:val="default"/>
    <w:sig w:usb0="00000000" w:usb1="00000000" w:usb2="00000000" w:usb3="00000000" w:csb0="00040000" w:csb1="00000000"/>
  </w:font>
  <w:font w:name="方正仿宋简体">
    <w:altName w:val="方正仿宋_GBK"/>
    <w:panose1 w:val="03000509000000000000"/>
    <w:charset w:val="00"/>
    <w:family w:val="auto"/>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楷体简体">
    <w:altName w:val="方正楷体_GBK"/>
    <w:panose1 w:val="03000509000000000000"/>
    <w:charset w:val="00"/>
    <w:family w:val="auto"/>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微软雅黑">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DC6E6"/>
    <w:multiLevelType w:val="singleLevel"/>
    <w:tmpl w:val="BFFDC6E6"/>
    <w:lvl w:ilvl="0" w:tentative="0">
      <w:start w:val="7"/>
      <w:numFmt w:val="chineseCounting"/>
      <w:suff w:val="nothing"/>
      <w:lvlText w:val="%1、"/>
      <w:lvlJc w:val="left"/>
      <w:rPr>
        <w:rFonts w:hint="eastAsia"/>
      </w:rPr>
    </w:lvl>
  </w:abstractNum>
  <w:abstractNum w:abstractNumId="1">
    <w:nsid w:val="FBFD0F1B"/>
    <w:multiLevelType w:val="singleLevel"/>
    <w:tmpl w:val="FBFD0F1B"/>
    <w:lvl w:ilvl="0" w:tentative="0">
      <w:start w:val="1"/>
      <w:numFmt w:val="chineseCounting"/>
      <w:suff w:val="nothing"/>
      <w:lvlText w:val="%1、"/>
      <w:lvlJc w:val="left"/>
      <w:rPr>
        <w:rFonts w:hint="eastAsia"/>
      </w:r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1D97DEFF"/>
    <w:rsid w:val="1DFF72E5"/>
    <w:rsid w:val="1EFC6F07"/>
    <w:rsid w:val="2FDF85B8"/>
    <w:rsid w:val="2FFFEE04"/>
    <w:rsid w:val="34DF85B0"/>
    <w:rsid w:val="367FFB0B"/>
    <w:rsid w:val="3B8F36BC"/>
    <w:rsid w:val="3EBFC520"/>
    <w:rsid w:val="457F76BD"/>
    <w:rsid w:val="491FF225"/>
    <w:rsid w:val="4FFD214C"/>
    <w:rsid w:val="5777D4F5"/>
    <w:rsid w:val="59DD8326"/>
    <w:rsid w:val="5DEF592A"/>
    <w:rsid w:val="5FC6BB1E"/>
    <w:rsid w:val="5FF720F1"/>
    <w:rsid w:val="67FF5C0B"/>
    <w:rsid w:val="6EFC0924"/>
    <w:rsid w:val="6FB74722"/>
    <w:rsid w:val="6FEF8B7E"/>
    <w:rsid w:val="6FFE74BD"/>
    <w:rsid w:val="71A6591B"/>
    <w:rsid w:val="737D59BA"/>
    <w:rsid w:val="77C37683"/>
    <w:rsid w:val="79FF515B"/>
    <w:rsid w:val="7CFF04D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B51EA734"/>
    <w:rsid w:val="C3B4DA5A"/>
    <w:rsid w:val="CBFF70E0"/>
    <w:rsid w:val="CCBC84CB"/>
    <w:rsid w:val="CFF50B82"/>
    <w:rsid w:val="CFFFAD89"/>
    <w:rsid w:val="DB5B9A77"/>
    <w:rsid w:val="DFFE359E"/>
    <w:rsid w:val="DFFE4FFD"/>
    <w:rsid w:val="EEABED75"/>
    <w:rsid w:val="EEB487B4"/>
    <w:rsid w:val="F56FDF51"/>
    <w:rsid w:val="F6B69F17"/>
    <w:rsid w:val="F77F1D61"/>
    <w:rsid w:val="F7FED3A9"/>
    <w:rsid w:val="F8C9DB26"/>
    <w:rsid w:val="F97E8EAE"/>
    <w:rsid w:val="FB36E1A6"/>
    <w:rsid w:val="FB3BE134"/>
    <w:rsid w:val="FCFF4275"/>
    <w:rsid w:val="FD7FEEEA"/>
    <w:rsid w:val="FDFFB577"/>
    <w:rsid w:val="FE75639E"/>
    <w:rsid w:val="FEEA50FE"/>
    <w:rsid w:val="FF7D47A9"/>
    <w:rsid w:val="FF7EB58E"/>
    <w:rsid w:val="FFB92917"/>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BodyText1I2"/>
    <w:qFormat/>
    <w:uiPriority w:val="0"/>
    <w:pPr>
      <w:widowControl w:val="0"/>
      <w:spacing w:after="120"/>
      <w:ind w:left="420" w:leftChars="200" w:firstLine="420" w:firstLineChars="200"/>
      <w:jc w:val="both"/>
      <w:textAlignment w:val="baseline"/>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38</Pages>
  <Words>1347</Words>
  <Characters>7679</Characters>
  <Lines>63</Lines>
  <Paragraphs>18</Paragraphs>
  <TotalTime>28</TotalTime>
  <ScaleCrop>false</ScaleCrop>
  <LinksUpToDate>false</LinksUpToDate>
  <CharactersWithSpaces>9008</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2020-07-09T02:32:00Z</dcterms:created>
  <dc:creator>李航 null</dc:creator>
  <cp:lastModifiedBy>huawei0020</cp:lastModifiedBy>
  <cp:lastPrinted>2024-08-09T10:20:00Z</cp:lastPrinted>
  <dcterms:modified xsi:type="dcterms:W3CDTF">2024-08-29T08:44:57Z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3FC1E7D0B1D9AB8005DACE66CE1A3942_43</vt:lpwstr>
  </property>
</Properties>
</file>